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84" w:rsidRDefault="004B4C84" w:rsidP="004B4C84">
      <w:pPr>
        <w:pStyle w:val="Figure"/>
      </w:pPr>
      <w:r>
        <w:rPr>
          <w:noProof/>
        </w:rPr>
        <w:drawing>
          <wp:inline distT="0" distB="0" distL="0" distR="0">
            <wp:extent cx="5029200" cy="1866900"/>
            <wp:effectExtent l="19050" t="0" r="0" b="0"/>
            <wp:docPr id="19" name="Picture 1" descr="SysCenter-OM-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Center-OM-07.jpg"/>
                    <pic:cNvPicPr>
                      <a:picLocks noChangeAspect="1" noChangeArrowheads="1"/>
                    </pic:cNvPicPr>
                  </pic:nvPicPr>
                  <pic:blipFill>
                    <a:blip r:embed="rId8"/>
                    <a:srcRect/>
                    <a:stretch>
                      <a:fillRect/>
                    </a:stretch>
                  </pic:blipFill>
                  <pic:spPr bwMode="auto">
                    <a:xfrm>
                      <a:off x="0" y="0"/>
                      <a:ext cx="5029200" cy="1866900"/>
                    </a:xfrm>
                    <a:prstGeom prst="rect">
                      <a:avLst/>
                    </a:prstGeom>
                    <a:noFill/>
                    <a:ln w="9525">
                      <a:noFill/>
                      <a:miter lim="800000"/>
                      <a:headEnd/>
                      <a:tailEnd/>
                    </a:ln>
                  </pic:spPr>
                </pic:pic>
              </a:graphicData>
            </a:graphic>
          </wp:inline>
        </w:drawing>
      </w:r>
    </w:p>
    <w:p w:rsidR="004B4C84" w:rsidRDefault="004B4C84" w:rsidP="004B4C84">
      <w:pPr>
        <w:pStyle w:val="TableSpacing"/>
      </w:pPr>
    </w:p>
    <w:p w:rsidR="004B4C84" w:rsidRDefault="004B4C84" w:rsidP="004B4C84">
      <w:pPr>
        <w:pStyle w:val="DSTOC1-0"/>
      </w:pPr>
      <w:r>
        <w:t>Guide du pack d’administration des services Bureau à distance pour Operations Manager 2007</w:t>
      </w:r>
    </w:p>
    <w:p w:rsidR="004B4C84" w:rsidRDefault="004B4C84" w:rsidP="004B4C84">
      <w:r>
        <w:t>Microsoft Corporation</w:t>
      </w:r>
    </w:p>
    <w:p w:rsidR="004B4C84" w:rsidRDefault="004B4C84" w:rsidP="004B4C84">
      <w:r>
        <w:t>Date de publication : Mai 2010</w:t>
      </w:r>
    </w:p>
    <w:p w:rsidR="004B4C84" w:rsidRDefault="004B4C84" w:rsidP="004B4C84">
      <w:pPr>
        <w:pStyle w:val="DSTOC3-0"/>
      </w:pPr>
      <w:r>
        <w:t>Commentaires</w:t>
      </w:r>
    </w:p>
    <w:p w:rsidR="004B4C84" w:rsidRDefault="004B4C84" w:rsidP="004B4C84">
      <w:r>
        <w:t xml:space="preserve">Envoyez vos suggestions et commentaires concernant ce document à </w:t>
      </w:r>
      <w:hyperlink r:id="rId9" w:history="1">
        <w:r>
          <w:rPr>
            <w:rStyle w:val="Hyperlink"/>
          </w:rPr>
          <w:t>mpgfeed@microsoft.com</w:t>
        </w:r>
      </w:hyperlink>
      <w:r>
        <w:t>. Merci d’inclure le nom du guide du pack d’administration et la date de publication avec vos commentaires.</w:t>
      </w:r>
    </w:p>
    <w:p w:rsidR="004B4C84" w:rsidRDefault="004B4C84" w:rsidP="004B4C84">
      <w:pPr>
        <w:sectPr w:rsidR="004B4C84" w:rsidSect="004B4C84">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1440" w:footer="1440" w:gutter="0"/>
          <w:cols w:space="720"/>
          <w:docGrid w:linePitch="360"/>
        </w:sectPr>
      </w:pPr>
    </w:p>
    <w:p w:rsidR="004B4C84" w:rsidRDefault="004B4C84" w:rsidP="004B4C84">
      <w:r>
        <w:lastRenderedPageBreak/>
        <w:t>Les informations contenues dans ce document, y compris les URL et autres références de sites Web, pourront faire l’objet de modifications sans préavis. Sauf mention contraire, les sociétés, les organisations, les produits, les noms de domaine, les adresses électroniques, les logos, les personnes, les lieux et les événements mentionnés dans les exemples sont fictifs. Toute ressemblance avec des sociétés, organisations, produits, noms de domaine, adresses électroniques, logos, personnes, lieux ou événements réels est purement fortuite et involontaire. L’utilisateur est tenu de respecter la réglementation relative aux droits d’auteur applicable dans son pays. Sans restriction des droits dérivés des droits d’auteur, aucune partie de ce document ne peut être reproduite, stockée ou introduite dans un système de restitution, ou transmise à quelque fin, par quelque moyen (électronique, mécanique, photocopie, enregistrement ou autre) ou dans quelque but que ce soit sans la permission expresse et écrite de Microsoft Corporation.</w:t>
      </w:r>
    </w:p>
    <w:p w:rsidR="004B4C84" w:rsidRDefault="004B4C84" w:rsidP="004B4C84">
      <w:r>
        <w:t>Microsoft peut détenir des brevets, avoir déposé des demandes d’enregistrement de brevets ou être titulaire de marques, droits d’auteur ou autres droits de propriété intellectuelle portant sur tout ou partie des éléments qui font l’objet du présent document. Sauf stipulation expresse contraire d’un contrat de licence écrit de Microsoft, la fourniture de ce document n’a pas pour effet de vous concéder une licence sur ces brevets, marques, droits d’auteur ou autres droits de propriété intellectuelle.</w:t>
      </w:r>
    </w:p>
    <w:p w:rsidR="004B4C84" w:rsidRDefault="004B4C84" w:rsidP="004B4C84">
      <w:r>
        <w:t>© 2010 Microsoft Corporation. Tous droits réservés.</w:t>
      </w:r>
    </w:p>
    <w:p w:rsidR="004B4C84" w:rsidRDefault="004B4C84" w:rsidP="004B4C84">
      <w:r>
        <w:t>Microsoft, MS-DOS, Windows, Windows Server et Active Directory sont des marques du groupe de sociétés Microsoft. Toutes les autres marques sont la propriété de leurs détenteurs respectifs.</w:t>
      </w:r>
    </w:p>
    <w:p w:rsidR="004B4C84" w:rsidRDefault="004B4C84" w:rsidP="004B4C84"/>
    <w:p w:rsidR="004B4C84" w:rsidRDefault="004B4C84" w:rsidP="004B4C84">
      <w:pPr>
        <w:pStyle w:val="DSTOC1-0"/>
        <w:sectPr w:rsidR="004B4C84" w:rsidSect="004B4C84">
          <w:footerReference w:type="default" r:id="rId16"/>
          <w:pgSz w:w="12240" w:h="15840" w:code="1"/>
          <w:pgMar w:top="1440" w:right="1800" w:bottom="1440" w:left="1800" w:header="1440" w:footer="1440" w:gutter="0"/>
          <w:cols w:space="720"/>
          <w:docGrid w:linePitch="360"/>
        </w:sectPr>
      </w:pPr>
    </w:p>
    <w:p w:rsidR="004B4C84" w:rsidRDefault="004B4C84" w:rsidP="004B4C84">
      <w:pPr>
        <w:pStyle w:val="DSTOC1-0"/>
      </w:pPr>
      <w:r>
        <w:lastRenderedPageBreak/>
        <w:t>Contenu</w:t>
      </w:r>
    </w:p>
    <w:p w:rsidR="004B4C84" w:rsidRDefault="004B4C84">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\f \h \t "DSTOC1-1,1,DSTOC1-2,2,DSTOC1-3,3,DSTOC1-4,4,DSTOC1-5,5,DSTOC1-6,6,DSTOC1-7,7,DSTOC1-8,8,DSTOC1-9,9,DSTOC2-2,2,DSTOC2-3,3,DSTOC2-4,4,DSTOC2-5,5,DSTOC2-6,6,DSTOC2-7,7,DSTOC2-8,8,DSTOC2-9,9,DSTOC3-3,3,DSTOC3-4,4,DSTOC3-5,5,DSTOC3-6,6,DSTOC3-7,7,DST </w:instrText>
      </w:r>
      <w:r>
        <w:fldChar w:fldCharType="separate"/>
      </w:r>
      <w:hyperlink w:anchor="_Toc266581632" w:history="1">
        <w:r w:rsidRPr="00E36A07">
          <w:rPr>
            <w:rStyle w:val="Hyperlink"/>
            <w:noProof/>
          </w:rPr>
          <w:t>Guide du pack d’administration des services Bureau à distance pour Operations Manager 2007</w:t>
        </w:r>
        <w:r>
          <w:rPr>
            <w:noProof/>
          </w:rPr>
          <w:tab/>
        </w:r>
        <w:r>
          <w:rPr>
            <w:noProof/>
          </w:rPr>
          <w:fldChar w:fldCharType="begin"/>
        </w:r>
        <w:r>
          <w:rPr>
            <w:noProof/>
          </w:rPr>
          <w:instrText xml:space="preserve"> PAGEREF _Toc266581632 \h </w:instrText>
        </w:r>
        <w:r>
          <w:rPr>
            <w:noProof/>
          </w:rPr>
        </w:r>
        <w:r>
          <w:rPr>
            <w:noProof/>
          </w:rPr>
          <w:fldChar w:fldCharType="separate"/>
        </w:r>
        <w:r>
          <w:rPr>
            <w:noProof/>
          </w:rPr>
          <w:t>4</w:t>
        </w:r>
        <w:r>
          <w:rPr>
            <w:noProof/>
          </w:rPr>
          <w:fldChar w:fldCharType="end"/>
        </w:r>
      </w:hyperlink>
    </w:p>
    <w:p w:rsidR="004B4C84" w:rsidRDefault="004B4C84">
      <w:pPr>
        <w:pStyle w:val="TOC2"/>
        <w:tabs>
          <w:tab w:val="right" w:leader="dot" w:pos="8630"/>
        </w:tabs>
        <w:rPr>
          <w:rFonts w:asciiTheme="minorHAnsi" w:eastAsiaTheme="minorEastAsia" w:hAnsiTheme="minorHAnsi" w:cstheme="minorBidi"/>
          <w:noProof/>
          <w:kern w:val="0"/>
          <w:sz w:val="22"/>
          <w:szCs w:val="22"/>
        </w:rPr>
      </w:pPr>
      <w:hyperlink w:anchor="_Toc266581633" w:history="1">
        <w:r w:rsidRPr="00E36A07">
          <w:rPr>
            <w:rStyle w:val="Hyperlink"/>
            <w:noProof/>
          </w:rPr>
          <w:t>Mise en route</w:t>
        </w:r>
        <w:r>
          <w:rPr>
            <w:noProof/>
          </w:rPr>
          <w:tab/>
        </w:r>
        <w:r>
          <w:rPr>
            <w:noProof/>
          </w:rPr>
          <w:fldChar w:fldCharType="begin"/>
        </w:r>
        <w:r>
          <w:rPr>
            <w:noProof/>
          </w:rPr>
          <w:instrText xml:space="preserve"> PAGEREF _Toc266581633 \h </w:instrText>
        </w:r>
        <w:r>
          <w:rPr>
            <w:noProof/>
          </w:rPr>
        </w:r>
        <w:r>
          <w:rPr>
            <w:noProof/>
          </w:rPr>
          <w:fldChar w:fldCharType="separate"/>
        </w:r>
        <w:r>
          <w:rPr>
            <w:noProof/>
          </w:rPr>
          <w:t>5</w:t>
        </w:r>
        <w:r>
          <w:rPr>
            <w:noProof/>
          </w:rPr>
          <w:fldChar w:fldCharType="end"/>
        </w:r>
      </w:hyperlink>
    </w:p>
    <w:p w:rsidR="004B4C84" w:rsidRDefault="004B4C84">
      <w:pPr>
        <w:pStyle w:val="TOC2"/>
        <w:tabs>
          <w:tab w:val="right" w:leader="dot" w:pos="8630"/>
        </w:tabs>
        <w:rPr>
          <w:rFonts w:asciiTheme="minorHAnsi" w:eastAsiaTheme="minorEastAsia" w:hAnsiTheme="minorHAnsi" w:cstheme="minorBidi"/>
          <w:noProof/>
          <w:kern w:val="0"/>
          <w:sz w:val="22"/>
          <w:szCs w:val="22"/>
        </w:rPr>
      </w:pPr>
      <w:hyperlink w:anchor="_Toc266581634" w:history="1">
        <w:r w:rsidRPr="00E36A07">
          <w:rPr>
            <w:rStyle w:val="Hyperlink"/>
            <w:noProof/>
          </w:rPr>
          <w:t>Configuration facultative</w:t>
        </w:r>
        <w:r>
          <w:rPr>
            <w:noProof/>
          </w:rPr>
          <w:tab/>
        </w:r>
        <w:r>
          <w:rPr>
            <w:noProof/>
          </w:rPr>
          <w:fldChar w:fldCharType="begin"/>
        </w:r>
        <w:r>
          <w:rPr>
            <w:noProof/>
          </w:rPr>
          <w:instrText xml:space="preserve"> PAGEREF _Toc266581634 \h </w:instrText>
        </w:r>
        <w:r>
          <w:rPr>
            <w:noProof/>
          </w:rPr>
        </w:r>
        <w:r>
          <w:rPr>
            <w:noProof/>
          </w:rPr>
          <w:fldChar w:fldCharType="separate"/>
        </w:r>
        <w:r>
          <w:rPr>
            <w:noProof/>
          </w:rPr>
          <w:t>7</w:t>
        </w:r>
        <w:r>
          <w:rPr>
            <w:noProof/>
          </w:rPr>
          <w:fldChar w:fldCharType="end"/>
        </w:r>
      </w:hyperlink>
    </w:p>
    <w:p w:rsidR="004B4C84" w:rsidRDefault="004B4C84">
      <w:pPr>
        <w:pStyle w:val="TOC2"/>
        <w:tabs>
          <w:tab w:val="right" w:leader="dot" w:pos="8630"/>
        </w:tabs>
        <w:rPr>
          <w:rFonts w:asciiTheme="minorHAnsi" w:eastAsiaTheme="minorEastAsia" w:hAnsiTheme="minorHAnsi" w:cstheme="minorBidi"/>
          <w:noProof/>
          <w:kern w:val="0"/>
          <w:sz w:val="22"/>
          <w:szCs w:val="22"/>
        </w:rPr>
      </w:pPr>
      <w:hyperlink w:anchor="_Toc266581635" w:history="1">
        <w:r w:rsidRPr="00E36A07">
          <w:rPr>
            <w:rStyle w:val="Hyperlink"/>
            <w:noProof/>
          </w:rPr>
          <w:t>Considérations de sécurité</w:t>
        </w:r>
        <w:r>
          <w:rPr>
            <w:noProof/>
          </w:rPr>
          <w:tab/>
        </w:r>
        <w:r>
          <w:rPr>
            <w:noProof/>
          </w:rPr>
          <w:fldChar w:fldCharType="begin"/>
        </w:r>
        <w:r>
          <w:rPr>
            <w:noProof/>
          </w:rPr>
          <w:instrText xml:space="preserve"> PAGEREF _Toc266581635 \h </w:instrText>
        </w:r>
        <w:r>
          <w:rPr>
            <w:noProof/>
          </w:rPr>
        </w:r>
        <w:r>
          <w:rPr>
            <w:noProof/>
          </w:rPr>
          <w:fldChar w:fldCharType="separate"/>
        </w:r>
        <w:r>
          <w:rPr>
            <w:noProof/>
          </w:rPr>
          <w:t>8</w:t>
        </w:r>
        <w:r>
          <w:rPr>
            <w:noProof/>
          </w:rPr>
          <w:fldChar w:fldCharType="end"/>
        </w:r>
      </w:hyperlink>
    </w:p>
    <w:p w:rsidR="004B4C84" w:rsidRDefault="004B4C84">
      <w:pPr>
        <w:pStyle w:val="TOC2"/>
        <w:tabs>
          <w:tab w:val="right" w:leader="dot" w:pos="8630"/>
        </w:tabs>
        <w:rPr>
          <w:rFonts w:asciiTheme="minorHAnsi" w:eastAsiaTheme="minorEastAsia" w:hAnsiTheme="minorHAnsi" w:cstheme="minorBidi"/>
          <w:noProof/>
          <w:kern w:val="0"/>
          <w:sz w:val="22"/>
          <w:szCs w:val="22"/>
        </w:rPr>
      </w:pPr>
      <w:hyperlink w:anchor="_Toc266581636" w:history="1">
        <w:r w:rsidRPr="00E36A07">
          <w:rPr>
            <w:rStyle w:val="Hyperlink"/>
            <w:noProof/>
          </w:rPr>
          <w:t>Présentation des opérations du pack d’administration</w:t>
        </w:r>
        <w:r>
          <w:rPr>
            <w:noProof/>
          </w:rPr>
          <w:tab/>
        </w:r>
        <w:r>
          <w:rPr>
            <w:noProof/>
          </w:rPr>
          <w:fldChar w:fldCharType="begin"/>
        </w:r>
        <w:r>
          <w:rPr>
            <w:noProof/>
          </w:rPr>
          <w:instrText xml:space="preserve"> PAGEREF _Toc266581636 \h </w:instrText>
        </w:r>
        <w:r>
          <w:rPr>
            <w:noProof/>
          </w:rPr>
        </w:r>
        <w:r>
          <w:rPr>
            <w:noProof/>
          </w:rPr>
          <w:fldChar w:fldCharType="separate"/>
        </w:r>
        <w:r>
          <w:rPr>
            <w:noProof/>
          </w:rPr>
          <w:t>9</w:t>
        </w:r>
        <w:r>
          <w:rPr>
            <w:noProof/>
          </w:rPr>
          <w:fldChar w:fldCharType="end"/>
        </w:r>
      </w:hyperlink>
    </w:p>
    <w:p w:rsidR="004B4C84" w:rsidRDefault="004B4C84">
      <w:pPr>
        <w:pStyle w:val="TOC2"/>
        <w:tabs>
          <w:tab w:val="right" w:leader="dot" w:pos="8630"/>
        </w:tabs>
        <w:rPr>
          <w:rFonts w:asciiTheme="minorHAnsi" w:eastAsiaTheme="minorEastAsia" w:hAnsiTheme="minorHAnsi" w:cstheme="minorBidi"/>
          <w:noProof/>
          <w:kern w:val="0"/>
          <w:sz w:val="22"/>
          <w:szCs w:val="22"/>
        </w:rPr>
      </w:pPr>
      <w:hyperlink w:anchor="_Toc266581637" w:history="1">
        <w:r w:rsidRPr="00E36A07">
          <w:rPr>
            <w:rStyle w:val="Hyperlink"/>
            <w:noProof/>
          </w:rPr>
          <w:t>Résolution des problèmes</w:t>
        </w:r>
        <w:r>
          <w:rPr>
            <w:noProof/>
          </w:rPr>
          <w:tab/>
        </w:r>
        <w:r>
          <w:rPr>
            <w:noProof/>
          </w:rPr>
          <w:fldChar w:fldCharType="begin"/>
        </w:r>
        <w:r>
          <w:rPr>
            <w:noProof/>
          </w:rPr>
          <w:instrText xml:space="preserve"> PAGEREF _Toc266581637 \h </w:instrText>
        </w:r>
        <w:r>
          <w:rPr>
            <w:noProof/>
          </w:rPr>
        </w:r>
        <w:r>
          <w:rPr>
            <w:noProof/>
          </w:rPr>
          <w:fldChar w:fldCharType="separate"/>
        </w:r>
        <w:r>
          <w:rPr>
            <w:noProof/>
          </w:rPr>
          <w:t>18</w:t>
        </w:r>
        <w:r>
          <w:rPr>
            <w:noProof/>
          </w:rPr>
          <w:fldChar w:fldCharType="end"/>
        </w:r>
      </w:hyperlink>
    </w:p>
    <w:p w:rsidR="004B4C84" w:rsidRDefault="004B4C84">
      <w:pPr>
        <w:pStyle w:val="TOC2"/>
        <w:tabs>
          <w:tab w:val="right" w:leader="dot" w:pos="8630"/>
        </w:tabs>
        <w:rPr>
          <w:rFonts w:asciiTheme="minorHAnsi" w:eastAsiaTheme="minorEastAsia" w:hAnsiTheme="minorHAnsi" w:cstheme="minorBidi"/>
          <w:noProof/>
          <w:kern w:val="0"/>
          <w:sz w:val="22"/>
          <w:szCs w:val="22"/>
        </w:rPr>
      </w:pPr>
      <w:hyperlink w:anchor="_Toc266581638" w:history="1">
        <w:r w:rsidRPr="00E36A07">
          <w:rPr>
            <w:rStyle w:val="Hyperlink"/>
            <w:noProof/>
          </w:rPr>
          <w:t>Annexe : Analyseurs et remplacements pour les packs d’administration</w:t>
        </w:r>
        <w:r>
          <w:rPr>
            <w:noProof/>
          </w:rPr>
          <w:tab/>
        </w:r>
        <w:r>
          <w:rPr>
            <w:noProof/>
          </w:rPr>
          <w:fldChar w:fldCharType="begin"/>
        </w:r>
        <w:r>
          <w:rPr>
            <w:noProof/>
          </w:rPr>
          <w:instrText xml:space="preserve"> PAGEREF _Toc266581638 \h </w:instrText>
        </w:r>
        <w:r>
          <w:rPr>
            <w:noProof/>
          </w:rPr>
        </w:r>
        <w:r>
          <w:rPr>
            <w:noProof/>
          </w:rPr>
          <w:fldChar w:fldCharType="separate"/>
        </w:r>
        <w:r>
          <w:rPr>
            <w:noProof/>
          </w:rPr>
          <w:t>19</w:t>
        </w:r>
        <w:r>
          <w:rPr>
            <w:noProof/>
          </w:rPr>
          <w:fldChar w:fldCharType="end"/>
        </w:r>
      </w:hyperlink>
    </w:p>
    <w:p w:rsidR="004B4C84" w:rsidRDefault="004B4C84" w:rsidP="004B4C84">
      <w:pPr>
        <w:sectPr w:rsidR="004B4C84" w:rsidSect="004B4C84">
          <w:footerReference w:type="default" r:id="rId17"/>
          <w:type w:val="oddPage"/>
          <w:pgSz w:w="12240" w:h="15840" w:code="1"/>
          <w:pgMar w:top="1440" w:right="1800" w:bottom="1440" w:left="1800" w:header="1440" w:footer="1440" w:gutter="0"/>
          <w:cols w:space="720"/>
          <w:docGrid w:linePitch="360"/>
        </w:sectPr>
      </w:pPr>
      <w:r>
        <w:fldChar w:fldCharType="end"/>
      </w:r>
    </w:p>
    <w:p w:rsidR="004B4C84" w:rsidRDefault="004B4C84">
      <w:pPr>
        <w:pStyle w:val="DSTOC1-1"/>
      </w:pPr>
      <w:bookmarkStart w:id="0" w:name="_Toc266581632"/>
      <w:r>
        <w:lastRenderedPageBreak/>
        <w:t>Guide du pack d’administration des services Bureau à distance pour Operations Manager 2007</w:t>
      </w:r>
      <w:bookmarkStart w:id="1" w:name="z76431da8e32841c5b682c989f0989698"/>
      <w:bookmarkEnd w:id="1"/>
      <w:bookmarkEnd w:id="0"/>
    </w:p>
    <w:p w:rsidR="004B4C84" w:rsidRDefault="004B4C84">
      <w:r>
        <w:t>Le pack d’administration des services Bureau à distance vous aide à administrer les ordinateurs qui exécutent les services Bureau à distance sous Windows Server 2008 R2 en analysant l’intégrité de ces services au moyen des services de rôle suivants :</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Hôte de session Bureau à distance :</w:t>
      </w:r>
      <w:r>
        <w:t xml:space="preserve"> un serveur hôte de session Bureau à distance héberge les programmes ou le Bureau Windows tout entier. Les utilisateurs peuvent se connecter à un serveur hôte de session Bureau à distance pour exécuter des programmes, enregistrer des fichiers et utiliser des ressources réseau sur ce serveur.</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Gestionnaire de licences des services Bureau à distance :</w:t>
      </w:r>
      <w:r>
        <w:t xml:space="preserve"> le Gestionnaire de licences des services Bureau à distance gère les licences d’accès client requises pour les services Bureau à distance et permettant à chaque périphérique ou utilisateur de se connecter à un serveur hôte de session Bureau à distance.</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Accès Bureau à distance par le Web :</w:t>
      </w:r>
      <w:r>
        <w:t xml:space="preserve"> le service d’accès Bureau à distance par le Web vous permet d’accéder à des programmes RemoteApp, des bureaux basés sur des sessions et à des bureaux virtuels par l’entremise d’un site Web.</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Passerelle des services Bureau à distance :</w:t>
      </w:r>
      <w:r>
        <w:t xml:space="preserve"> par le biais de la passerelle des services Bureau à distance, des utilisateurs distants autorisés peuvent se connecter aux ressources sur un réseau d’entreprise interne à partir de n’importe quel périphérique connecté à Internet et capable d’exécuter le client Connexion Bureau à distance (RDC).</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Service Broker pour les connexions Bureau à distance :</w:t>
      </w:r>
      <w:r>
        <w:t xml:space="preserve"> le service Broker pour les connexions Bureau à distance prend en charge l’équilibrage de la charge de la session entre les serveurs Hôte de session Bureau à distance d’une batterie de serveurs, la reconnexion à une session existante dans une batterie de serveurs Hôte de session Bureau à distance à charge équilibrée et les connexions aux bureaux virtuels.</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Hôte de virtualisation des services Bureau à distance :</w:t>
      </w:r>
      <w:r>
        <w:t xml:space="preserve"> s’intégrant au rôle Hyper-V, le service Hôte de virtualisation des services Bureau à distance fournit des ordinateurs virtuels qu’il est possible d’utiliser en tant que bureaux. </w:t>
      </w:r>
    </w:p>
    <w:p w:rsidR="004B4C84" w:rsidRDefault="004B4C84">
      <w:r>
        <w:t>En cas de problème de disponibilité ou de performance de l’un de ces composants, Microsoft System Center Operations Manager 2007 utilise le pack d’administration des services Bureau à distance pour détecter le problème et vous alerter afin que vous puissiez le diagnostiquer et le résoudre.</w:t>
      </w:r>
    </w:p>
    <w:p w:rsidR="004B4C84" w:rsidRDefault="004B4C84">
      <w:r>
        <w:t>Le pack d’administration peut vous aider à identifier des problèmes avant qu’ils n’interrompent votre infrastructure, en améliorant la disponibilité et la performance des serveurs Windows desquels dépend votre entreprise.</w:t>
      </w:r>
    </w:p>
    <w:p w:rsidR="004B4C84" w:rsidRDefault="004B4C84">
      <w:pPr>
        <w:pStyle w:val="DSTOC2-0"/>
      </w:pPr>
      <w:r>
        <w:lastRenderedPageBreak/>
        <w:t>Version du document</w:t>
      </w:r>
    </w:p>
    <w:p w:rsidR="004B4C84" w:rsidRDefault="004B4C84">
      <w:r>
        <w:t>Ce guide a été rédigé à partir de la version 6.0.6613.0 du pack d’administration des services Bureau à distance.</w:t>
      </w:r>
    </w:p>
    <w:p w:rsidR="004B4C84" w:rsidRDefault="004B4C84">
      <w:pPr>
        <w:pStyle w:val="DSTOC2-0"/>
      </w:pPr>
      <w:r>
        <w:t>Obtention du pack d’administration et de la documentation les plus récents</w:t>
      </w:r>
    </w:p>
    <w:p w:rsidR="004B4C84" w:rsidRDefault="004B4C84">
      <w:r>
        <w:t xml:space="preserve">Le pack d’administration des services Bureau à distance est disponible dans le </w:t>
      </w:r>
      <w:hyperlink r:id="rId18" w:history="1">
        <w:r>
          <w:rPr>
            <w:rStyle w:val="Hyperlink"/>
          </w:rPr>
          <w:t>catalogue des packs d’administration Microsoft System Center (cette page peut être en anglais)</w:t>
        </w:r>
      </w:hyperlink>
      <w:r>
        <w:t>, à l’adresse http://go.microsoft.com/fwlink/?LinkId=82105.</w:t>
      </w:r>
    </w:p>
    <w:p w:rsidR="004B4C84" w:rsidRDefault="004B4C84">
      <w:pPr>
        <w:pStyle w:val="DSTOC2-0"/>
      </w:pPr>
      <w:r>
        <w:t>Configurations prises en charge</w:t>
      </w:r>
    </w:p>
    <w:p w:rsidR="004B4C84" w:rsidRDefault="004B4C84">
      <w:r>
        <w:t>Le tableau suivant détaille les configurations prises en charge pour le pack d’administration des services Bureau à distance :</w:t>
      </w:r>
    </w:p>
    <w:p w:rsidR="004B4C84" w:rsidRDefault="004B4C84">
      <w:pPr>
        <w:pStyle w:val="TableSpacing"/>
      </w:pPr>
    </w:p>
    <w:tbl>
      <w:tblPr>
        <w:tblStyle w:val="TablewithHeader"/>
        <w:tblW w:w="0" w:type="auto"/>
        <w:tblLook w:val="01E0"/>
      </w:tblPr>
      <w:tblGrid>
        <w:gridCol w:w="4408"/>
        <w:gridCol w:w="4404"/>
      </w:tblGrid>
      <w:tr w:rsidR="004B4C84" w:rsidTr="006257A0">
        <w:trPr>
          <w:cnfStyle w:val="100000000000"/>
        </w:trPr>
        <w:tc>
          <w:tcPr>
            <w:tcW w:w="4428" w:type="dxa"/>
          </w:tcPr>
          <w:p w:rsidR="004B4C84" w:rsidRDefault="004B4C84">
            <w:r>
              <w:t>Configuration</w:t>
            </w:r>
          </w:p>
        </w:tc>
        <w:tc>
          <w:tcPr>
            <w:tcW w:w="4428" w:type="dxa"/>
          </w:tcPr>
          <w:p w:rsidR="004B4C84" w:rsidRDefault="004B4C84">
            <w:r>
              <w:t>Prise en charge</w:t>
            </w:r>
          </w:p>
        </w:tc>
      </w:tr>
      <w:tr w:rsidR="004B4C84" w:rsidTr="006257A0">
        <w:tc>
          <w:tcPr>
            <w:tcW w:w="4428" w:type="dxa"/>
          </w:tcPr>
          <w:p w:rsidR="004B4C84" w:rsidRDefault="004B4C84">
            <w:r>
              <w:t>Windows Server 2008 R2</w:t>
            </w:r>
          </w:p>
        </w:tc>
        <w:tc>
          <w:tcPr>
            <w:tcW w:w="4428" w:type="dxa"/>
          </w:tcPr>
          <w:p w:rsidR="004B4C84" w:rsidRDefault="004B4C84">
            <w:r>
              <w:t>Toutes les éditions</w:t>
            </w:r>
          </w:p>
        </w:tc>
      </w:tr>
    </w:tbl>
    <w:p w:rsidR="004B4C84" w:rsidRDefault="004B4C84">
      <w:pPr>
        <w:pStyle w:val="TableSpacing"/>
      </w:pPr>
    </w:p>
    <w:p w:rsidR="004B4C84" w:rsidRDefault="004B4C84">
      <w:pPr>
        <w:pStyle w:val="DSTOC1-2"/>
      </w:pPr>
      <w:bookmarkStart w:id="2" w:name="_Toc266581633"/>
      <w:r>
        <w:t>Mise en route</w:t>
      </w:r>
      <w:bookmarkStart w:id="3" w:name="z56dccc3b072b4e2fba20522ae89276f9"/>
      <w:bookmarkEnd w:id="3"/>
      <w:bookmarkEnd w:id="2"/>
    </w:p>
    <w:p w:rsidR="004B4C84" w:rsidRDefault="004B4C84">
      <w:r>
        <w:t>Cette section décrit les mesures que vous devez prendre avant et après l’importation du pack d’administration. Elle fournit également des informations sur les possibilités de personnalisation.</w:t>
      </w:r>
    </w:p>
    <w:p w:rsidR="004B4C84" w:rsidRDefault="004B4C84">
      <w:pPr>
        <w:pStyle w:val="DSTOC3-0"/>
      </w:pPr>
      <w:r>
        <w:t>Avant d’importer le pack d’administration</w:t>
      </w:r>
    </w:p>
    <w:p w:rsidR="004B4C84" w:rsidRDefault="004B4C84">
      <w:r>
        <w:t xml:space="preserve">Pour que le pack d’administration des services Bureau à distance fonctionne de façon optimale, vos ordinateurs doivent remplir les conditions suivantes : </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t>Chaque serveur hôte de session Bureau à distance doit être administré par Operations Manager 2007.</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t>Chaque serveur de licences des services Bureau à distance doit être administré par Operations Manager 2007.</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t>Chaque serveur du service Broker pour les connexions Bureau à distance doit être administré par Operations Manager 2007.</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t>Chaque serveur d’accès Bureau à distance par le Web doit être administré par Operations Manager 2007.</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t>Chaque serveur de passerelle des services Bureau à distance doit être administré par Operations Manager 2007.</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t>Chaque serveur hôte de virtualisation des services Bureau à distance doit être administré par Operations Manager 2007.</w:t>
      </w:r>
    </w:p>
    <w:p w:rsidR="004B4C84" w:rsidRDefault="004B4C84" w:rsidP="004B4C84">
      <w:pPr>
        <w:pStyle w:val="BulletedList1"/>
        <w:numPr>
          <w:ilvl w:val="0"/>
          <w:numId w:val="0"/>
        </w:numPr>
        <w:tabs>
          <w:tab w:val="left" w:pos="360"/>
        </w:tabs>
        <w:ind w:left="360" w:hanging="360"/>
      </w:pPr>
      <w:r>
        <w:rPr>
          <w:rFonts w:ascii="Symbol" w:hAnsi="Symbol"/>
        </w:rPr>
        <w:lastRenderedPageBreak/>
        <w:t></w:t>
      </w:r>
      <w:r>
        <w:rPr>
          <w:rFonts w:ascii="Symbol" w:hAnsi="Symbol"/>
        </w:rPr>
        <w:tab/>
      </w:r>
      <w:r>
        <w:t xml:space="preserve">Le pack d’administration du système d’exploitation de base Microsoft Windows Server doit être installé sur l’ordinateur qui exécute System Center Operations Manager 2007 pour utiliser une partie des fonctionnalités du pack d’administration des services Bureau à distance, notamment la plupart des affichages des performances. </w:t>
      </w:r>
    </w:p>
    <w:p w:rsidR="004B4C84" w:rsidRDefault="004B4C84">
      <w:pPr>
        <w:pStyle w:val="DSTOC3-0"/>
      </w:pPr>
      <w:r>
        <w:t>Fichiers dans ce pack d’administration</w:t>
      </w:r>
    </w:p>
    <w:p w:rsidR="004B4C84" w:rsidRDefault="004B4C84">
      <w:r>
        <w:t xml:space="preserve">Pour analyser les services Bureau à distance, vous devez d’abord télécharger le pack d’administration des services Bureau à distance disponible dans le </w:t>
      </w:r>
      <w:hyperlink r:id="rId19" w:history="1">
        <w:r>
          <w:rPr>
            <w:rStyle w:val="Hyperlink"/>
          </w:rPr>
          <w:t>catalogue des packs d’administration (cette page peut être en anglais)</w:t>
        </w:r>
      </w:hyperlink>
      <w:r>
        <w:t xml:space="preserve">, à l’adresse http://go.microsoft.com/fwlink/?LinkId=82105. </w:t>
      </w:r>
    </w:p>
    <w:p w:rsidR="004B4C84" w:rsidRDefault="004B4C84">
      <w:r>
        <w:t>Le pack d’administration des services Bureau à distance inclut les fichiers suivants :</w:t>
      </w:r>
    </w:p>
    <w:p w:rsidR="004B4C84" w:rsidRDefault="004B4C84">
      <w:pPr>
        <w:pStyle w:val="TableSpacing"/>
      </w:pPr>
    </w:p>
    <w:tbl>
      <w:tblPr>
        <w:tblStyle w:val="TablewithHeader"/>
        <w:tblW w:w="0" w:type="auto"/>
        <w:tblLook w:val="01E0"/>
      </w:tblPr>
      <w:tblGrid>
        <w:gridCol w:w="5841"/>
        <w:gridCol w:w="2971"/>
      </w:tblGrid>
      <w:tr w:rsidR="004B4C84" w:rsidTr="00A5079C">
        <w:trPr>
          <w:cnfStyle w:val="100000000000"/>
        </w:trPr>
        <w:tc>
          <w:tcPr>
            <w:tcW w:w="4428" w:type="dxa"/>
          </w:tcPr>
          <w:p w:rsidR="004B4C84" w:rsidRDefault="004B4C84">
            <w:r>
              <w:t>Nom du fichier</w:t>
            </w:r>
          </w:p>
        </w:tc>
        <w:tc>
          <w:tcPr>
            <w:tcW w:w="4428" w:type="dxa"/>
          </w:tcPr>
          <w:p w:rsidR="004B4C84" w:rsidRDefault="004B4C84">
            <w:r>
              <w:t>Description</w:t>
            </w:r>
          </w:p>
        </w:tc>
      </w:tr>
      <w:tr w:rsidR="004B4C84" w:rsidTr="00A5079C">
        <w:tc>
          <w:tcPr>
            <w:tcW w:w="4428" w:type="dxa"/>
          </w:tcPr>
          <w:p w:rsidR="004B4C84" w:rsidRDefault="004B4C84">
            <w:r>
              <w:t>Microsoft.Windows.Server.RemoteDesktopServices.2008R2.mp</w:t>
            </w:r>
          </w:p>
        </w:tc>
        <w:tc>
          <w:tcPr>
            <w:tcW w:w="4428" w:type="dxa"/>
          </w:tcPr>
          <w:p w:rsidR="004B4C84" w:rsidRDefault="004B4C84">
            <w:r>
              <w:t>Requis pour l’analyse des ordinateurs équipés des services Bureau à distance.</w:t>
            </w:r>
          </w:p>
        </w:tc>
      </w:tr>
      <w:tr w:rsidR="004B4C84" w:rsidTr="00A5079C">
        <w:tc>
          <w:tcPr>
            <w:tcW w:w="4428" w:type="dxa"/>
          </w:tcPr>
          <w:p w:rsidR="004B4C84" w:rsidRDefault="004B4C84">
            <w:r>
              <w:t>Microsoft.Windows.Server.RemoteDesktopServices.Library.mp</w:t>
            </w:r>
          </w:p>
        </w:tc>
        <w:tc>
          <w:tcPr>
            <w:tcW w:w="4428" w:type="dxa"/>
          </w:tcPr>
          <w:p w:rsidR="004B4C84" w:rsidRDefault="004B4C84">
            <w:r>
              <w:t>Requis pour détecter des objets, analyser des objets et consulter des informations.</w:t>
            </w:r>
          </w:p>
        </w:tc>
      </w:tr>
      <w:tr w:rsidR="004B4C84" w:rsidTr="00A5079C">
        <w:tc>
          <w:tcPr>
            <w:tcW w:w="4428" w:type="dxa"/>
          </w:tcPr>
          <w:p w:rsidR="004B4C84" w:rsidRDefault="004B4C84">
            <w:r>
              <w:t>OM2007_MP_RDS.doc</w:t>
            </w:r>
          </w:p>
        </w:tc>
        <w:tc>
          <w:tcPr>
            <w:tcW w:w="4428" w:type="dxa"/>
          </w:tcPr>
          <w:p w:rsidR="004B4C84" w:rsidRDefault="004B4C84">
            <w:r>
              <w:t>Contient des informations supplémentaires sur le pack d’administration des services Bureau à distance.</w:t>
            </w:r>
          </w:p>
        </w:tc>
      </w:tr>
    </w:tbl>
    <w:p w:rsidR="004B4C84" w:rsidRDefault="004B4C84">
      <w:pPr>
        <w:pStyle w:val="TableSpacing"/>
      </w:pPr>
    </w:p>
    <w:p w:rsidR="004B4C84" w:rsidRDefault="004B4C84">
      <w:pPr>
        <w:pStyle w:val="DSTOC3-0"/>
      </w:pPr>
      <w:r>
        <w:t>Comment importer le pack d’administration des services Bureau à distance</w:t>
      </w:r>
    </w:p>
    <w:p w:rsidR="004B4C84" w:rsidRDefault="004B4C84">
      <w:r>
        <w:t xml:space="preserve">Pour obtenir des instructions sur l’importation d’un pack d’administration, consultez l’article </w:t>
      </w:r>
      <w:hyperlink r:id="rId20" w:history="1">
        <w:r>
          <w:rPr>
            <w:rStyle w:val="Hyperlink"/>
          </w:rPr>
          <w:t>Comment importer un pack d’administration dans Operations Manager 2007 (cette page peut être en anglais)</w:t>
        </w:r>
      </w:hyperlink>
      <w:r>
        <w:t xml:space="preserve"> (http://go.microsoft.com/fwlink/?LinkID=98348).</w:t>
      </w:r>
    </w:p>
    <w:p w:rsidR="004B4C84" w:rsidRDefault="004B4C84">
      <w:r>
        <w:t>Après avoir importé le pack d’administration des services Bureau à distance, créez un nouveau pack d’administration pour y stocker des remplacements et d’autres personnalisations.</w:t>
      </w:r>
    </w:p>
    <w:p w:rsidR="004B4C84" w:rsidRDefault="004B4C84">
      <w:pPr>
        <w:pStyle w:val="DSTOC3-0"/>
      </w:pPr>
      <w:r>
        <w:t>Créer un pack d’administration pour les personnalisations</w:t>
      </w:r>
    </w:p>
    <w:p w:rsidR="004B4C84" w:rsidRDefault="004B4C84">
      <w:r>
        <w:t xml:space="preserve">La plupart des packs d’administration disponibles auprès des fournisseurs sont scellés afin que vous ne puissiez modifier aucun des paramètres d’origine dans le fichier du pack d’administration. Toutefois, vous pouvez créer des personnalisations, tels que des nouveaux objets de remplacement ou d’analyse, et les enregistrer dans un pack d’administration différent. Par défaut, Operations Manager 2007 enregistre toutes les personnalisations dans le pack </w:t>
      </w:r>
      <w:r>
        <w:lastRenderedPageBreak/>
        <w:t>d’administration par défaut. Il est néanmoins recommandé de créer un pack d’administration distinct pour chaque pack d’administration scellé que vous souhaitez personnaliser.</w:t>
      </w:r>
    </w:p>
    <w:p w:rsidR="004B4C84" w:rsidRDefault="004B4C84">
      <w:r>
        <w:t xml:space="preserve">La création d’un pack d’administration pour le stockage des remplacements offre les avantages suivants : </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t>Elle simplifie le processus d'exportation des personnalisations créées dans vos environnements de pré-production et de test vers votre environnement de production. Par exemple, plutôt que d’exporter un pack d’administration par défaut contenant des personnalisations issues de plusieurs packs d’administration, vous pouvez simplement exporter le pack d’administration contenant les personnalisations d’un seul pack d’administration.</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t>Vous pouvez supprimer le pack d’administration d’origine sans avoir à supprimer préalablement le pack d’administration par défaut. Un pack d’administration qui contient des personnalisations dépend du pack d’administration d’origine. Cette dépendance nécessite que vous supprimiez le pack d’administration contenant les personnalisations avant de pouvoir supprimer le pack d’administration d’origine. Si toutes vos personnalisations sont enregistrées dans le pack d’administration par défaut, vous devez supprimer le pack d’administration par défaut avant de pouvoir supprimer un pack d’administration d’origine.</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t>Il est plus facile de suivre et de mettre à jour des personnalisations dans des packs d'administration individuels.</w:t>
      </w:r>
    </w:p>
    <w:p w:rsidR="004B4C84" w:rsidRDefault="004B4C84">
      <w:r>
        <w:t xml:space="preserve">Pour plus d’informations sur les packs d’administration scellés et non scellés, consultez l’article consacré aux </w:t>
      </w:r>
      <w:hyperlink r:id="rId21" w:history="1">
        <w:r>
          <w:rPr>
            <w:rStyle w:val="Hyperlink"/>
          </w:rPr>
          <w:t>formats des packs d’administration (cette page peut être en anglais)</w:t>
        </w:r>
      </w:hyperlink>
      <w:r>
        <w:t xml:space="preserve"> (http://go.microsoft.com/fwlink/?LinkId=108355). Pour plus d’informations sur les personnalisations des packs d’administration et le pack d’administration par défaut, consultez l’article </w:t>
      </w:r>
      <w:hyperlink r:id="rId22" w:history="1">
        <w:r>
          <w:rPr>
            <w:rStyle w:val="Hyperlink"/>
          </w:rPr>
          <w:t>À propos des packs d’administration dans Operations Manager 2007 (cette page peut être en anglais)</w:t>
        </w:r>
      </w:hyperlink>
      <w:r>
        <w:t xml:space="preserve"> (http://go.microsoft.com/fwlink/?LinkId=108356).</w:t>
      </w:r>
    </w:p>
    <w:p w:rsidR="004B4C84" w:rsidRDefault="004B4C84">
      <w:pPr>
        <w:pStyle w:val="DSTOC1-2"/>
      </w:pPr>
      <w:bookmarkStart w:id="4" w:name="_Toc266581634"/>
      <w:r>
        <w:t>Configuration facultative</w:t>
      </w:r>
      <w:bookmarkStart w:id="5" w:name="z6a7e0e5a627c402c90f9e21db58da9f2"/>
      <w:bookmarkEnd w:id="5"/>
      <w:bookmarkEnd w:id="4"/>
    </w:p>
    <w:p w:rsidR="004B4C84" w:rsidRDefault="004B4C84">
      <w:r>
        <w:t>Vous pouvez configurer le pack d’administration des services Bureau à distance pour votre environnement et vos préférences.</w:t>
      </w:r>
    </w:p>
    <w:p w:rsidR="004B4C84" w:rsidRDefault="004B4C84">
      <w:r>
        <w:t>Le tableau suivant répertorie les configurations facultatives du pack d’administration des services Bureau à distance et indique où vous pouvez obtenir plus d’informations à propos de chaque option.</w:t>
      </w:r>
    </w:p>
    <w:p w:rsidR="004B4C84" w:rsidRDefault="004B4C84">
      <w:pPr>
        <w:pStyle w:val="TableSpacing"/>
      </w:pPr>
    </w:p>
    <w:tbl>
      <w:tblPr>
        <w:tblStyle w:val="TablewithHeader"/>
        <w:tblW w:w="0" w:type="auto"/>
        <w:tblLook w:val="01E0"/>
      </w:tblPr>
      <w:tblGrid>
        <w:gridCol w:w="4405"/>
        <w:gridCol w:w="4407"/>
      </w:tblGrid>
      <w:tr w:rsidR="004B4C84" w:rsidTr="000F487E">
        <w:trPr>
          <w:cnfStyle w:val="100000000000"/>
        </w:trPr>
        <w:tc>
          <w:tcPr>
            <w:tcW w:w="4428" w:type="dxa"/>
          </w:tcPr>
          <w:p w:rsidR="004B4C84" w:rsidRDefault="004B4C84">
            <w:r>
              <w:t>Option de configuration</w:t>
            </w:r>
          </w:p>
        </w:tc>
        <w:tc>
          <w:tcPr>
            <w:tcW w:w="4428" w:type="dxa"/>
          </w:tcPr>
          <w:p w:rsidR="004B4C84" w:rsidRDefault="004B4C84">
            <w:r>
              <w:t>Informations supplémentaires</w:t>
            </w:r>
          </w:p>
        </w:tc>
      </w:tr>
      <w:tr w:rsidR="004B4C84" w:rsidTr="000F487E">
        <w:tc>
          <w:tcPr>
            <w:tcW w:w="4428" w:type="dxa"/>
          </w:tcPr>
          <w:p w:rsidR="004B4C84" w:rsidRDefault="004B4C84">
            <w:r>
              <w:t>Modifier les paramètres par défaut en remplaçant des règles.</w:t>
            </w:r>
          </w:p>
        </w:tc>
        <w:tc>
          <w:tcPr>
            <w:tcW w:w="4428" w:type="dxa"/>
          </w:tcPr>
          <w:p w:rsidR="004B4C84" w:rsidRDefault="004B4C84">
            <w:r>
              <w:t xml:space="preserve">Consultez la section </w:t>
            </w:r>
            <w:hyperlink r:id="rId23" w:history="1">
              <w:r>
                <w:rPr>
                  <w:rStyle w:val="Hyperlink"/>
                </w:rPr>
                <w:t>Procédure d’analyse à l’aide de remplacements dans Operations Manager 2007</w:t>
              </w:r>
            </w:hyperlink>
            <w:r>
              <w:t xml:space="preserve"> sur le site Web de Microsoft TechNet</w:t>
            </w:r>
          </w:p>
        </w:tc>
      </w:tr>
      <w:tr w:rsidR="004B4C84" w:rsidTr="000F487E">
        <w:tc>
          <w:tcPr>
            <w:tcW w:w="4428" w:type="dxa"/>
          </w:tcPr>
          <w:p w:rsidR="004B4C84" w:rsidRDefault="004B4C84">
            <w:r>
              <w:t>Activer des règles qui rassemblent les données de performances.</w:t>
            </w:r>
          </w:p>
        </w:tc>
        <w:tc>
          <w:tcPr>
            <w:tcW w:w="4428" w:type="dxa"/>
          </w:tcPr>
          <w:p w:rsidR="004B4C84" w:rsidRDefault="004B4C84">
            <w:r>
              <w:t xml:space="preserve">Consultez la section </w:t>
            </w:r>
            <w:hyperlink w:anchor="z1" w:history="1">
              <w:r>
                <w:rPr>
                  <w:rStyle w:val="Hyperlink"/>
                </w:rPr>
                <w:t>Activer les règles pour rassembler les données de performances</w:t>
              </w:r>
            </w:hyperlink>
          </w:p>
        </w:tc>
      </w:tr>
    </w:tbl>
    <w:p w:rsidR="004B4C84" w:rsidRDefault="004B4C84">
      <w:pPr>
        <w:pStyle w:val="TableSpacing"/>
      </w:pPr>
    </w:p>
    <w:p w:rsidR="004B4C84" w:rsidRDefault="004B4C84">
      <w:pPr>
        <w:pStyle w:val="DSTOC3-0"/>
      </w:pPr>
      <w:bookmarkStart w:id="6" w:name="z1"/>
      <w:bookmarkEnd w:id="6"/>
      <w:r>
        <w:t>Activer les règles pour rassembler les données de performances</w:t>
      </w:r>
    </w:p>
    <w:p w:rsidR="004B4C84" w:rsidRDefault="004B4C84">
      <w:r>
        <w:t>Dans le pack d’administration des services Bureau à distance, la plupart des règles qui rassemblent les données de performances sont désactivées par défaut. Pour rassembler les données de performances, vous pouvez utiliser des remplacements pour activer les règles de performance que vous souhaitez.</w:t>
      </w:r>
    </w:p>
    <w:p w:rsidR="004B4C84" w:rsidRDefault="004B4C84">
      <w:pPr>
        <w:pStyle w:val="AlertLabel"/>
        <w:framePr w:wrap="notBeside"/>
      </w:pPr>
      <w:r>
        <w:rPr>
          <w:noProof/>
        </w:rPr>
        <w:drawing>
          <wp:inline distT="0" distB="0" distL="0" distR="0">
            <wp:extent cx="228600" cy="15240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Remarque </w:t>
      </w:r>
    </w:p>
    <w:p w:rsidR="004B4C84" w:rsidRDefault="004B4C84">
      <w:pPr>
        <w:pStyle w:val="AlertText"/>
      </w:pPr>
      <w:r>
        <w:t>Le fait d’activer les règles de performance augmente le trafic réseau et peut nuire aux performances des serveurs munis de liaisons lentes.</w:t>
      </w:r>
    </w:p>
    <w:p w:rsidR="004B4C84" w:rsidRDefault="004B4C84">
      <w:pPr>
        <w:pStyle w:val="ProcedureTitle"/>
        <w:framePr w:wrap="notBeside"/>
      </w:pPr>
      <w:r>
        <w:rPr>
          <w:noProof/>
        </w:rPr>
        <w:drawing>
          <wp:inline distT="0" distB="0" distL="0" distR="0">
            <wp:extent cx="152400" cy="152400"/>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Pour collecter les données de performances :</w:t>
      </w:r>
    </w:p>
    <w:tbl>
      <w:tblPr>
        <w:tblStyle w:val="ProcedureTable"/>
        <w:tblW w:w="0" w:type="auto"/>
        <w:tblLook w:val="01E0"/>
      </w:tblPr>
      <w:tblGrid>
        <w:gridCol w:w="8280"/>
      </w:tblGrid>
      <w:tr w:rsidR="004B4C84">
        <w:tc>
          <w:tcPr>
            <w:tcW w:w="8856" w:type="dxa"/>
          </w:tcPr>
          <w:p w:rsidR="004B4C84" w:rsidRDefault="004B4C84" w:rsidP="004B4C84">
            <w:pPr>
              <w:pStyle w:val="NumberedList1"/>
              <w:numPr>
                <w:ilvl w:val="0"/>
                <w:numId w:val="0"/>
              </w:numPr>
              <w:tabs>
                <w:tab w:val="left" w:pos="360"/>
              </w:tabs>
              <w:ind w:left="360" w:hanging="360"/>
            </w:pPr>
            <w:r>
              <w:t>1.</w:t>
            </w:r>
            <w:r>
              <w:tab/>
              <w:t xml:space="preserve">Dans la console Opérateur, cliquez sur </w:t>
            </w:r>
            <w:r>
              <w:rPr>
                <w:rStyle w:val="UI"/>
              </w:rPr>
              <w:t>Création</w:t>
            </w:r>
            <w:r>
              <w:t>.</w:t>
            </w:r>
          </w:p>
          <w:p w:rsidR="004B4C84" w:rsidRDefault="004B4C84" w:rsidP="004B4C84">
            <w:pPr>
              <w:pStyle w:val="NumberedList1"/>
              <w:numPr>
                <w:ilvl w:val="0"/>
                <w:numId w:val="0"/>
              </w:numPr>
              <w:tabs>
                <w:tab w:val="left" w:pos="360"/>
              </w:tabs>
              <w:ind w:left="360" w:hanging="360"/>
            </w:pPr>
            <w:r>
              <w:t>2.</w:t>
            </w:r>
            <w:r>
              <w:tab/>
              <w:t xml:space="preserve">Développez </w:t>
            </w:r>
            <w:r>
              <w:rPr>
                <w:rStyle w:val="UI"/>
              </w:rPr>
              <w:t>Objets du pack d’administration</w:t>
            </w:r>
            <w:r>
              <w:t xml:space="preserve">, puis cliquez sur </w:t>
            </w:r>
            <w:r>
              <w:rPr>
                <w:rStyle w:val="UI"/>
              </w:rPr>
              <w:t>Règles</w:t>
            </w:r>
            <w:r>
              <w:t>.</w:t>
            </w:r>
          </w:p>
          <w:p w:rsidR="004B4C84" w:rsidRDefault="004B4C84">
            <w:pPr>
              <w:pStyle w:val="AlertLabelinList1"/>
              <w:framePr w:wrap="notBeside"/>
            </w:pPr>
            <w:r>
              <w:rPr>
                <w:noProof/>
              </w:rPr>
              <w:drawing>
                <wp:inline distT="0" distB="0" distL="0" distR="0">
                  <wp:extent cx="228600" cy="152400"/>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Remarque </w:t>
            </w:r>
          </w:p>
          <w:p w:rsidR="004B4C84" w:rsidRDefault="004B4C84">
            <w:pPr>
              <w:pStyle w:val="AlertTextinList1"/>
            </w:pPr>
            <w:r>
              <w:t xml:space="preserve">Pour afficher uniquement les règles du pack d’administration des services Bureau à distance, cliquez sur </w:t>
            </w:r>
            <w:r>
              <w:rPr>
                <w:rStyle w:val="UI"/>
              </w:rPr>
              <w:t>Étendue</w:t>
            </w:r>
            <w:r>
              <w:t>, puis activez les cases à cocher des composants des services Bureau à distance.</w:t>
            </w:r>
          </w:p>
          <w:p w:rsidR="004B4C84" w:rsidRDefault="004B4C84" w:rsidP="004B4C84">
            <w:pPr>
              <w:pStyle w:val="NumberedList1"/>
              <w:numPr>
                <w:ilvl w:val="0"/>
                <w:numId w:val="0"/>
              </w:numPr>
              <w:tabs>
                <w:tab w:val="left" w:pos="360"/>
              </w:tabs>
              <w:ind w:left="360" w:hanging="360"/>
            </w:pPr>
            <w:r>
              <w:t>3.</w:t>
            </w:r>
            <w:r>
              <w:tab/>
              <w:t xml:space="preserve">Cliquez avec le bouton droit sur la règle de mesure de performance souhaitée, pointez successivement sur </w:t>
            </w:r>
            <w:r>
              <w:rPr>
                <w:rStyle w:val="UI"/>
              </w:rPr>
              <w:t>Remplacements</w:t>
            </w:r>
            <w:r>
              <w:t xml:space="preserve"> et </w:t>
            </w:r>
            <w:r>
              <w:rPr>
                <w:rStyle w:val="UI"/>
              </w:rPr>
              <w:t>Remplacer la règle</w:t>
            </w:r>
            <w:r>
              <w:t xml:space="preserve">, puis cliquez sur </w:t>
            </w:r>
            <w:r>
              <w:rPr>
                <w:rStyle w:val="UI"/>
              </w:rPr>
              <w:t>Pour tous les objets de type : &lt;type d’objet&gt;</w:t>
            </w:r>
            <w:r>
              <w:t>.</w:t>
            </w:r>
          </w:p>
          <w:p w:rsidR="004B4C84" w:rsidRDefault="004B4C84" w:rsidP="004B4C84">
            <w:pPr>
              <w:pStyle w:val="NumberedList1"/>
              <w:numPr>
                <w:ilvl w:val="0"/>
                <w:numId w:val="0"/>
              </w:numPr>
              <w:tabs>
                <w:tab w:val="left" w:pos="360"/>
              </w:tabs>
              <w:ind w:left="360" w:hanging="360"/>
            </w:pPr>
            <w:r>
              <w:t>4.</w:t>
            </w:r>
            <w:r>
              <w:tab/>
              <w:t xml:space="preserve">Dans la colonne </w:t>
            </w:r>
            <w:r>
              <w:rPr>
                <w:rStyle w:val="UI"/>
              </w:rPr>
              <w:t>Remplacement</w:t>
            </w:r>
            <w:r>
              <w:t xml:space="preserve">, activez la case à cochez </w:t>
            </w:r>
            <w:r>
              <w:rPr>
                <w:rStyle w:val="UI"/>
              </w:rPr>
              <w:t>Activé</w:t>
            </w:r>
            <w:r>
              <w:t>.</w:t>
            </w:r>
          </w:p>
          <w:p w:rsidR="004B4C84" w:rsidRDefault="004B4C84" w:rsidP="004B4C84">
            <w:pPr>
              <w:pStyle w:val="NumberedList1"/>
              <w:numPr>
                <w:ilvl w:val="0"/>
                <w:numId w:val="0"/>
              </w:numPr>
              <w:tabs>
                <w:tab w:val="left" w:pos="360"/>
              </w:tabs>
              <w:ind w:left="360" w:hanging="360"/>
            </w:pPr>
            <w:r>
              <w:t>5.</w:t>
            </w:r>
            <w:r>
              <w:tab/>
              <w:t xml:space="preserve">Dans la colonne </w:t>
            </w:r>
            <w:r>
              <w:rPr>
                <w:rStyle w:val="UI"/>
              </w:rPr>
              <w:t>Paramètre de remplacement</w:t>
            </w:r>
            <w:r>
              <w:t xml:space="preserve">, cliquez sur </w:t>
            </w:r>
            <w:r>
              <w:rPr>
                <w:rStyle w:val="UI"/>
              </w:rPr>
              <w:t>True</w:t>
            </w:r>
            <w:r>
              <w:t xml:space="preserve"> (Vrai), puis sur </w:t>
            </w:r>
            <w:r>
              <w:rPr>
                <w:rStyle w:val="UI"/>
              </w:rPr>
              <w:t>OK</w:t>
            </w:r>
            <w:r>
              <w:t>.</w:t>
            </w:r>
          </w:p>
        </w:tc>
      </w:tr>
    </w:tbl>
    <w:p w:rsidR="004B4C84" w:rsidRDefault="004B4C84"/>
    <w:p w:rsidR="004B4C84" w:rsidRDefault="004B4C84">
      <w:pPr>
        <w:pStyle w:val="DSTOC1-2"/>
      </w:pPr>
      <w:bookmarkStart w:id="7" w:name="_Toc266581635"/>
      <w:r>
        <w:t>Considérations de sécurité</w:t>
      </w:r>
      <w:bookmarkStart w:id="8" w:name="za283490db2ae48fbb8d6024f075fbb7a"/>
      <w:bookmarkEnd w:id="8"/>
      <w:bookmarkEnd w:id="7"/>
    </w:p>
    <w:p w:rsidR="004B4C84" w:rsidRDefault="004B4C84">
      <w:r>
        <w:t>Vous devrez peut-être personnaliser votre pack d’administration. Certains comptes ne peuvent pas être exécutés dans un environnement à faibles privilèges ou ils doivent disposer des autorisations minimales requises.</w:t>
      </w:r>
    </w:p>
    <w:p w:rsidR="004B4C84" w:rsidRDefault="004B4C84">
      <w:pPr>
        <w:pStyle w:val="DSTOC3-0"/>
      </w:pPr>
      <w:r>
        <w:t>Environnements à faibles privilèges</w:t>
      </w:r>
    </w:p>
    <w:p w:rsidR="004B4C84" w:rsidRDefault="004B4C84">
      <w:r>
        <w:t>Le pack d’administration des services Bureau à distance utilise le compte d’action d’agent pour détecter et exécuter des règles, des tâches et des analyses. Le compte d’action d’agent peut s’exécuter en tant que système local ou en tant que compte nommé. Lors de l’exécution en tant que système local, le compte d’action d’agent dispose de tous les privilèges nécessaires pour détecter des objets et exécuter des règles, des tâches et des analyses.</w:t>
      </w:r>
    </w:p>
    <w:p w:rsidR="004B4C84" w:rsidRDefault="004B4C84">
      <w:r>
        <w:t>Pour utiliser le pack d’administration des services Bureau à distance dans un environnement à faibles privilèges, le compte doit bénéficier des privilèges suivants sur l’ordinateur cible :</w:t>
      </w:r>
    </w:p>
    <w:p w:rsidR="004B4C84" w:rsidRDefault="004B4C84" w:rsidP="004B4C84">
      <w:pPr>
        <w:pStyle w:val="BulletedList1"/>
        <w:numPr>
          <w:ilvl w:val="0"/>
          <w:numId w:val="0"/>
        </w:numPr>
        <w:tabs>
          <w:tab w:val="left" w:pos="360"/>
        </w:tabs>
        <w:ind w:left="360" w:hanging="360"/>
      </w:pPr>
      <w:r>
        <w:rPr>
          <w:rFonts w:ascii="Symbol" w:hAnsi="Symbol"/>
        </w:rPr>
        <w:lastRenderedPageBreak/>
        <w:t></w:t>
      </w:r>
      <w:r>
        <w:rPr>
          <w:rFonts w:ascii="Symbol" w:hAnsi="Symbol"/>
        </w:rPr>
        <w:tab/>
      </w:r>
      <w:r>
        <w:t>Être membre du groupe Utilisateurs local</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t>Être membre du groupe local des utilisateurs de l’Analyseur de performances</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t>Disposer du droit d’utilisateur d’ouvrir une session localement</w:t>
      </w:r>
    </w:p>
    <w:p w:rsidR="004B4C84" w:rsidRDefault="004B4C84">
      <w:pPr>
        <w:pStyle w:val="DSTOC3-0"/>
      </w:pPr>
      <w:r>
        <w:t>Groupes d’ordinateurs</w:t>
      </w:r>
    </w:p>
    <w:p w:rsidR="004B4C84" w:rsidRDefault="004B4C84">
      <w:r>
        <w:t xml:space="preserve">Vous pouvez déléguer l’autorité à un niveau précis avec les rôles d’utilisateur. Pour plus d’informations sur les rôles d’utilisateur, consultez la page </w:t>
      </w:r>
      <w:hyperlink r:id="rId26" w:history="1">
        <w:r>
          <w:rPr>
            <w:rStyle w:val="Hyperlink"/>
          </w:rPr>
          <w:t>Sécurité basée sur les rôles dans Operations Manager 2007</w:t>
        </w:r>
      </w:hyperlink>
      <w:r>
        <w:t>.</w:t>
      </w:r>
    </w:p>
    <w:p w:rsidR="004B4C84" w:rsidRDefault="004B4C84">
      <w:r>
        <w:t>Dans le pack d’administration des services Bureau à distance, vous pouvez définir l’étendue et les autorisations des rôles à l’aide du Groupe d’ordinateurs des services Bureau à distance, c’est-à-dire le groupe qui englobe tous les systèmes informatiques qui exécutent ces services.</w:t>
      </w:r>
    </w:p>
    <w:p w:rsidR="004B4C84" w:rsidRDefault="004B4C84">
      <w:pPr>
        <w:pStyle w:val="DSTOC3-0"/>
      </w:pPr>
      <w:r>
        <w:t>Analyse sans agent</w:t>
      </w:r>
    </w:p>
    <w:p w:rsidR="004B4C84" w:rsidRDefault="004B4C84">
      <w:r>
        <w:t>Vous pouvez utiliser le pack d’administration des services Bureau à distance pour surveiller des ordinateurs gérés sans agent. Toutefois, pour exécuter une tâche sur un ordinateur géré sans agent, vous devez modifier le compte d’action en un compte qui a accès à l’ordinateur cible.</w:t>
      </w:r>
    </w:p>
    <w:p w:rsidR="004B4C84" w:rsidRDefault="004B4C84">
      <w:pPr>
        <w:pStyle w:val="DSTOC1-2"/>
      </w:pPr>
      <w:bookmarkStart w:id="9" w:name="_Toc266581636"/>
      <w:r>
        <w:t>Présentation des opérations du pack d’administration</w:t>
      </w:r>
      <w:bookmarkStart w:id="10" w:name="zbb7a7f60aa724c1097324564524932b4"/>
      <w:bookmarkEnd w:id="10"/>
      <w:bookmarkEnd w:id="9"/>
    </w:p>
    <w:p w:rsidR="004B4C84" w:rsidRDefault="004B4C84">
      <w:r>
        <w:t>Cette section décrit les objets que le pack d’administration des services Bureau à distance détecte, la procédure de cumul de l’intégrité, les scénarios d’analyse clé et les vues de la console qui affichent les informations d’analyse et de performance relatives à ces services.</w:t>
      </w:r>
    </w:p>
    <w:p w:rsidR="004B4C84" w:rsidRDefault="004B4C84">
      <w:pPr>
        <w:pStyle w:val="DSTOC3-0"/>
      </w:pPr>
      <w:r>
        <w:t>Objets détectés par le pack d’administration des services Bureau à distance</w:t>
      </w:r>
    </w:p>
    <w:p w:rsidR="004B4C84" w:rsidRDefault="004B4C84">
      <w:r>
        <w:t xml:space="preserve">Le pack d’administration des services Bureau à distance détecte les types d’objet décrits dans la liste suivante. Pour plus d’informations sur la détection des objets, consultez l’article consacré aux </w:t>
      </w:r>
      <w:hyperlink r:id="rId27" w:history="1">
        <w:r>
          <w:rPr>
            <w:rStyle w:val="Hyperlink"/>
          </w:rPr>
          <w:t>détections d’objets dans Operations Manager 2007 (cette page peut être en anglais)</w:t>
        </w:r>
      </w:hyperlink>
      <w:r>
        <w:t xml:space="preserve"> sur le site de Microsoft TechNet, à l’adresse http://go.microsoft.com/fwlink/?LinkId=108505.</w:t>
      </w:r>
    </w:p>
    <w:p w:rsidR="004B4C84" w:rsidRDefault="004B4C84">
      <w:pPr>
        <w:pStyle w:val="AlertLabel"/>
        <w:framePr w:wrap="notBeside"/>
      </w:pPr>
      <w:r>
        <w:rPr>
          <w:noProof/>
        </w:rPr>
        <w:drawing>
          <wp:inline distT="0" distB="0" distL="0" distR="0">
            <wp:extent cx="228600" cy="15240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Remarque </w:t>
      </w:r>
    </w:p>
    <w:p w:rsidR="004B4C84" w:rsidRDefault="004B4C84">
      <w:pPr>
        <w:pStyle w:val="AlertText"/>
      </w:pPr>
      <w:r>
        <w:t xml:space="preserve">Tous les objets ne sont pas détectés automatiquement. Pour détecter ceux qui ne le sont pas automatiquement, vous devez recourir à des remplacements. </w:t>
      </w:r>
    </w:p>
    <w:p w:rsidR="004B4C84" w:rsidRDefault="004B4C84">
      <w:r>
        <w:t>Le pack d’administration des services Bureau à distance détecte les objets suivants :</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t>Serveur hôte de session Bureau à distance</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t>Serveur de licences des services Bureau à distance</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t>Serveur de passerelle Bureau à distance</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t>Serveur du service Broker pour les connexions Bureau à distance</w:t>
      </w:r>
    </w:p>
    <w:p w:rsidR="004B4C84" w:rsidRDefault="004B4C84" w:rsidP="004B4C84">
      <w:pPr>
        <w:pStyle w:val="BulletedList1"/>
        <w:numPr>
          <w:ilvl w:val="0"/>
          <w:numId w:val="0"/>
        </w:numPr>
        <w:tabs>
          <w:tab w:val="left" w:pos="360"/>
        </w:tabs>
        <w:ind w:left="360" w:hanging="360"/>
      </w:pPr>
      <w:r>
        <w:rPr>
          <w:rFonts w:ascii="Symbol" w:hAnsi="Symbol"/>
        </w:rPr>
        <w:lastRenderedPageBreak/>
        <w:t></w:t>
      </w:r>
      <w:r>
        <w:rPr>
          <w:rFonts w:ascii="Symbol" w:hAnsi="Symbol"/>
        </w:rPr>
        <w:tab/>
      </w:r>
      <w:r>
        <w:t>Serveur d’accès Bureau à distance par le Web</w:t>
      </w:r>
    </w:p>
    <w:p w:rsidR="004B4C84" w:rsidRDefault="004B4C84" w:rsidP="004B4C84">
      <w:pPr>
        <w:pStyle w:val="BulletedList1"/>
        <w:numPr>
          <w:ilvl w:val="0"/>
          <w:numId w:val="0"/>
        </w:numPr>
        <w:tabs>
          <w:tab w:val="left" w:pos="360"/>
        </w:tabs>
        <w:ind w:left="360" w:hanging="360"/>
      </w:pPr>
      <w:r>
        <w:rPr>
          <w:rFonts w:ascii="Symbol" w:hAnsi="Symbol"/>
        </w:rPr>
        <w:t></w:t>
      </w:r>
      <w:r>
        <w:rPr>
          <w:rFonts w:ascii="Symbol" w:hAnsi="Symbol"/>
        </w:rPr>
        <w:tab/>
      </w:r>
      <w:r>
        <w:t>Serveur hôte de virtualisation des services Bureau à distance</w:t>
      </w:r>
    </w:p>
    <w:p w:rsidR="004B4C84" w:rsidRDefault="004B4C84">
      <w:pPr>
        <w:pStyle w:val="DSTOC3-0"/>
      </w:pPr>
      <w:r>
        <w:t>Classes</w:t>
      </w:r>
    </w:p>
    <w:p w:rsidR="004B4C84" w:rsidRDefault="004B4C84">
      <w:r>
        <w:t>Le tableau suivant décrit les classes définies dans ce pack d’administration.</w:t>
      </w:r>
    </w:p>
    <w:p w:rsidR="004B4C84" w:rsidRDefault="004B4C84">
      <w:pPr>
        <w:pStyle w:val="TableSpacing"/>
      </w:pPr>
    </w:p>
    <w:tbl>
      <w:tblPr>
        <w:tblStyle w:val="TablewithHeader"/>
        <w:tblW w:w="0" w:type="auto"/>
        <w:tblLook w:val="01E0"/>
      </w:tblPr>
      <w:tblGrid>
        <w:gridCol w:w="6642"/>
        <w:gridCol w:w="2170"/>
      </w:tblGrid>
      <w:tr w:rsidR="004B4C84" w:rsidTr="0077444E">
        <w:trPr>
          <w:cnfStyle w:val="100000000000"/>
        </w:trPr>
        <w:tc>
          <w:tcPr>
            <w:tcW w:w="4428" w:type="dxa"/>
          </w:tcPr>
          <w:p w:rsidR="004B4C84" w:rsidRDefault="004B4C84">
            <w:r>
              <w:t>Classes disponibles</w:t>
            </w:r>
          </w:p>
        </w:tc>
        <w:tc>
          <w:tcPr>
            <w:tcW w:w="4428" w:type="dxa"/>
          </w:tcPr>
          <w:p w:rsidR="004B4C84" w:rsidRDefault="004B4C84">
            <w:r>
              <w:t>Description</w:t>
            </w:r>
          </w:p>
        </w:tc>
      </w:tr>
      <w:tr w:rsidR="004B4C84" w:rsidTr="0077444E">
        <w:tc>
          <w:tcPr>
            <w:tcW w:w="4428" w:type="dxa"/>
          </w:tcPr>
          <w:p w:rsidR="004B4C84" w:rsidRDefault="004B4C84">
            <w:r>
              <w:t>Microsoft.Windows.Server.2008R2.RemoteDesktopServicesRole</w:t>
            </w:r>
          </w:p>
        </w:tc>
        <w:tc>
          <w:tcPr>
            <w:tcW w:w="4428" w:type="dxa"/>
          </w:tcPr>
          <w:p w:rsidR="004B4C84" w:rsidRDefault="004B4C84">
            <w:r>
              <w:t>Groupe d’ordinateurs contenant tous les ordinateurs sur lesquels les services Bureau à distance sont exécutés</w:t>
            </w:r>
          </w:p>
        </w:tc>
      </w:tr>
      <w:tr w:rsidR="004B4C84" w:rsidTr="0077444E">
        <w:tc>
          <w:tcPr>
            <w:tcW w:w="4428" w:type="dxa"/>
          </w:tcPr>
          <w:p w:rsidR="004B4C84" w:rsidRDefault="004B4C84">
            <w:r>
              <w:t>Microsoft.Windows.Server.2008R2.RemoteDesktopServicesRole.Service</w:t>
            </w:r>
          </w:p>
        </w:tc>
        <w:tc>
          <w:tcPr>
            <w:tcW w:w="4428" w:type="dxa"/>
          </w:tcPr>
          <w:p w:rsidR="004B4C84" w:rsidRDefault="004B4C84">
            <w:r>
              <w:t>Groupe d’ordinateurs contenant les ordinateurs sur lesquels au moins un service de rôle des services Bureau à distance est exécuté</w:t>
            </w:r>
          </w:p>
        </w:tc>
      </w:tr>
      <w:tr w:rsidR="004B4C84" w:rsidTr="0077444E">
        <w:tc>
          <w:tcPr>
            <w:tcW w:w="4428" w:type="dxa"/>
          </w:tcPr>
          <w:p w:rsidR="004B4C84" w:rsidRDefault="004B4C84">
            <w:r>
              <w:t>Microsoft.Windows.Server.2008R2.RDSessionHost</w:t>
            </w:r>
          </w:p>
        </w:tc>
        <w:tc>
          <w:tcPr>
            <w:tcW w:w="4428" w:type="dxa"/>
          </w:tcPr>
          <w:p w:rsidR="004B4C84" w:rsidRDefault="004B4C84">
            <w:r>
              <w:t>Groupe d’ordinateurs contenant les ordinateurs sur lesquels le service de rôle Hôte de session Bureau à distance est exécuté</w:t>
            </w:r>
          </w:p>
        </w:tc>
      </w:tr>
      <w:tr w:rsidR="004B4C84" w:rsidTr="0077444E">
        <w:tc>
          <w:tcPr>
            <w:tcW w:w="4428" w:type="dxa"/>
          </w:tcPr>
          <w:p w:rsidR="004B4C84" w:rsidRDefault="004B4C84">
            <w:r>
              <w:t>Microsoft.Windows.Server.2008R2.RDLicensing</w:t>
            </w:r>
          </w:p>
        </w:tc>
        <w:tc>
          <w:tcPr>
            <w:tcW w:w="4428" w:type="dxa"/>
          </w:tcPr>
          <w:p w:rsidR="004B4C84" w:rsidRDefault="004B4C84">
            <w:r>
              <w:t>Groupe d’ordinateurs contenant les ordinateurs sur lesquels le service de rôle Gestionnaire de licences des services Bureau à distance est exécuté</w:t>
            </w:r>
          </w:p>
        </w:tc>
      </w:tr>
      <w:tr w:rsidR="004B4C84" w:rsidTr="0077444E">
        <w:tc>
          <w:tcPr>
            <w:tcW w:w="4428" w:type="dxa"/>
          </w:tcPr>
          <w:p w:rsidR="004B4C84" w:rsidRDefault="004B4C84">
            <w:r>
              <w:t>Microsoft.Windows.Server.2008R2.RDConnectionBrokerRole</w:t>
            </w:r>
          </w:p>
        </w:tc>
        <w:tc>
          <w:tcPr>
            <w:tcW w:w="4428" w:type="dxa"/>
          </w:tcPr>
          <w:p w:rsidR="004B4C84" w:rsidRDefault="004B4C84">
            <w:r>
              <w:t xml:space="preserve">Groupe d’ordinateurs contenant les ordinateurs sur lesquels le service de rôle Service Broker </w:t>
            </w:r>
            <w:r>
              <w:lastRenderedPageBreak/>
              <w:t>pour les connexions Bureau à distance est exécuté</w:t>
            </w:r>
          </w:p>
        </w:tc>
      </w:tr>
      <w:tr w:rsidR="004B4C84" w:rsidTr="0077444E">
        <w:tc>
          <w:tcPr>
            <w:tcW w:w="4428" w:type="dxa"/>
          </w:tcPr>
          <w:p w:rsidR="004B4C84" w:rsidRDefault="004B4C84">
            <w:r>
              <w:lastRenderedPageBreak/>
              <w:t>Microsoft.Windows.Server.2008R2.RDGateway</w:t>
            </w:r>
          </w:p>
        </w:tc>
        <w:tc>
          <w:tcPr>
            <w:tcW w:w="4428" w:type="dxa"/>
          </w:tcPr>
          <w:p w:rsidR="004B4C84" w:rsidRDefault="004B4C84">
            <w:r>
              <w:t>Groupe d’ordinateurs contenant les ordinateurs sur lesquels le service de rôle Passerelle des services Bureau à distance est exécuté</w:t>
            </w:r>
          </w:p>
        </w:tc>
      </w:tr>
      <w:tr w:rsidR="004B4C84" w:rsidTr="0077444E">
        <w:tc>
          <w:tcPr>
            <w:tcW w:w="4428" w:type="dxa"/>
          </w:tcPr>
          <w:p w:rsidR="004B4C84" w:rsidRDefault="004B4C84">
            <w:r>
              <w:t>Microsoft.Windows.Server.2008R2.RDWebAccess</w:t>
            </w:r>
          </w:p>
        </w:tc>
        <w:tc>
          <w:tcPr>
            <w:tcW w:w="4428" w:type="dxa"/>
          </w:tcPr>
          <w:p w:rsidR="004B4C84" w:rsidRDefault="004B4C84">
            <w:r>
              <w:t>Groupe d’ordinateurs contenant les ordinateurs sur lesquels le service de rôle Accès Bureau à distance par le Web est exécuté</w:t>
            </w:r>
          </w:p>
        </w:tc>
      </w:tr>
      <w:tr w:rsidR="004B4C84" w:rsidTr="0077444E">
        <w:tc>
          <w:tcPr>
            <w:tcW w:w="4428" w:type="dxa"/>
          </w:tcPr>
          <w:p w:rsidR="004B4C84" w:rsidRDefault="004B4C84">
            <w:r>
              <w:t>Microsoft.Windows.Server.2008R2.RDVirtualizationHost</w:t>
            </w:r>
          </w:p>
        </w:tc>
        <w:tc>
          <w:tcPr>
            <w:tcW w:w="4428" w:type="dxa"/>
          </w:tcPr>
          <w:p w:rsidR="004B4C84" w:rsidRDefault="004B4C84">
            <w:r>
              <w:t>Groupe d’ordinateurs contenant les ordinateurs sur lesquels le service de rôle Hôte de virtualisation des services Bureau à distance est exécuté</w:t>
            </w:r>
          </w:p>
        </w:tc>
      </w:tr>
    </w:tbl>
    <w:p w:rsidR="004B4C84" w:rsidRDefault="004B4C84">
      <w:pPr>
        <w:pStyle w:val="TableSpacing"/>
      </w:pPr>
    </w:p>
    <w:p w:rsidR="004B4C84" w:rsidRDefault="004B4C84">
      <w:pPr>
        <w:pStyle w:val="DSTOC3-0"/>
      </w:pPr>
      <w:r>
        <w:t>Procédure de cumul de l’intégrité</w:t>
      </w:r>
    </w:p>
    <w:p w:rsidR="004B4C84" w:rsidRDefault="004B4C84">
      <w:r>
        <w:t>Le pack d’administration des services Bureau à distance organise les services Bureau à distance selon une hiérarchie. L’intégrité de chaque niveau dépend de l’intégrité du niveau inférieur. Le niveau supérieur contient les services de rôle suivants : Hôte de session Bureau à distance, Hôte de virtualisation des services Bureau à distance, Passerelle des services Bureau à distance,  Gestionnaire de licences des services Bureau à distance, Service Broker pour les connexions Bureau à distance et Accès Bureau à distance par le Web. Au niveau le plus bas se trouvent les analyseurs des états, des événements et des compteurs des services d’un serveur. Lorsque des analyseurs changent d’état, le niveau supérieur modifie l’état pour qu’il corresponde ; en d’autres termes, l’intégrité du niveau inférieur est cumulée sur le niveau immédiatement supérieur.</w:t>
      </w:r>
    </w:p>
    <w:p w:rsidR="004B4C84" w:rsidRDefault="004B4C84">
      <w:r>
        <w:t xml:space="preserve">Par exemple, l’état des analyseurs de performances du serveur Hôte de session Bureau à distance cumule l’état de performance global du serveur hôte de session Bureau à distance. </w:t>
      </w:r>
      <w:r>
        <w:lastRenderedPageBreak/>
        <w:t>Simultanément, l’état des analyseurs d’intégrité du serveur Hôte de session Bureau à distance cumule l’état de disponibilité global du serveur hôte de session Bureau à distance. L’état de performance et l’état de disponibilité sont à leur tour cumulés pour définir l’état global du serveur hôte de session Bureau à distance.</w:t>
      </w:r>
    </w:p>
    <w:p w:rsidR="004B4C84" w:rsidRDefault="004B4C84">
      <w:r>
        <w:t xml:space="preserve">Le rôle d’ordinateur des services Bureau à distance est l’objet du niveau le plus élevé dans la hiérarchie d’intégrité et est hébergé en tant que rôle d’ordinateur de l’objet ordinateur. Sous le rôle d’ordinateur des services Bureau à distance, une ou plusieurs classes de service de rôle existent en fonction des différents services de rôle ajoutés au serveur avec le rôle Services Bureau à distance installé. Chacun de ces services de rôle a son propre état administré par différents analyseurs, et l’état de tous ces services de rôle est reflété dans le rôle d’ordinateur des services Bureau à distance. </w:t>
      </w:r>
    </w:p>
    <w:p w:rsidR="004B4C84" w:rsidRDefault="004B4C84">
      <w:r>
        <w:t>Le diagramme ci-dessous illustre la manière dont les états d’intégrité sont cumulés.</w:t>
      </w:r>
    </w:p>
    <w:p w:rsidR="004B4C84" w:rsidRDefault="004B4C84" w:rsidP="004B4C84">
      <w:pPr>
        <w:pStyle w:val="Figure"/>
      </w:pPr>
      <w:r>
        <w:rPr>
          <w:noProof/>
        </w:rPr>
        <w:drawing>
          <wp:inline distT="0" distB="0" distL="0" distR="0">
            <wp:extent cx="5029200" cy="142798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lum/>
                    </a:blip>
                    <a:stretch>
                      <a:fillRect/>
                    </a:stretch>
                  </pic:blipFill>
                  <pic:spPr>
                    <a:xfrm>
                      <a:off x="0" y="0"/>
                      <a:ext cx="5029200" cy="1427980"/>
                    </a:xfrm>
                    <a:prstGeom prst="rect">
                      <a:avLst/>
                    </a:prstGeom>
                    <a:noFill/>
                    <a:ln>
                      <a:noFill/>
                    </a:ln>
                  </pic:spPr>
                </pic:pic>
              </a:graphicData>
            </a:graphic>
          </wp:inline>
        </w:drawing>
      </w:r>
    </w:p>
    <w:p w:rsidR="004B4C84" w:rsidRDefault="004B4C84">
      <w:pPr>
        <w:pStyle w:val="TableSpacing"/>
      </w:pPr>
    </w:p>
    <w:p w:rsidR="004B4C84" w:rsidRDefault="004B4C84">
      <w:pPr>
        <w:pStyle w:val="DSTOC3-0"/>
      </w:pPr>
      <w:r>
        <w:t>Affichage des informations dans la console Operations Manager</w:t>
      </w:r>
    </w:p>
    <w:p w:rsidR="004B4C84" w:rsidRDefault="004B4C84">
      <w:r>
        <w:t>Après avoir laissé un peu de temps à votre pack d’administration des services Bureau à distance pour rassembler des données, vous pouvez commencer à consulter les informations d’analyse dans la console Opérateur d’Operations Manager 2007. Le dossier Services Bureau à distance de Microsoft Windows contient des vues qui présentent les informations d’état, d’intégrité et de performance des services Bureau à distance.</w:t>
      </w:r>
    </w:p>
    <w:p w:rsidR="004B4C84" w:rsidRDefault="004B4C84">
      <w:pPr>
        <w:pStyle w:val="DSTOC4-0"/>
      </w:pPr>
      <w:r>
        <w:t>Affichages</w:t>
      </w:r>
    </w:p>
    <w:p w:rsidR="004B4C84" w:rsidRDefault="004B4C84">
      <w:r>
        <w:t>Le pack d’administration des services Bureau à distance englobe plusieurs affichages que vous pouvez utiliser pour vérifier l’état ou la performance de vos fonctionnalités et services. Il fournit les affichages par défaut décrits dans les tableaux figurant dans les sections suivantes.</w:t>
      </w:r>
    </w:p>
    <w:p w:rsidR="004B4C84" w:rsidRDefault="004B4C84">
      <w:pPr>
        <w:pStyle w:val="DSTOC5-0"/>
      </w:pPr>
      <w:r>
        <w:t>Global</w:t>
      </w:r>
    </w:p>
    <w:p w:rsidR="004B4C84" w:rsidRDefault="004B4C84">
      <w:pPr>
        <w:pStyle w:val="TableSpacing"/>
      </w:pPr>
    </w:p>
    <w:tbl>
      <w:tblPr>
        <w:tblStyle w:val="TablewithHeader"/>
        <w:tblW w:w="0" w:type="auto"/>
        <w:tblLook w:val="01E0"/>
      </w:tblPr>
      <w:tblGrid>
        <w:gridCol w:w="4405"/>
        <w:gridCol w:w="4407"/>
      </w:tblGrid>
      <w:tr w:rsidR="004B4C84" w:rsidTr="0077444E">
        <w:trPr>
          <w:cnfStyle w:val="100000000000"/>
        </w:trPr>
        <w:tc>
          <w:tcPr>
            <w:tcW w:w="4428" w:type="dxa"/>
          </w:tcPr>
          <w:p w:rsidR="004B4C84" w:rsidRDefault="004B4C84">
            <w:r>
              <w:t>Nom de l’affichage</w:t>
            </w:r>
          </w:p>
        </w:tc>
        <w:tc>
          <w:tcPr>
            <w:tcW w:w="4428" w:type="dxa"/>
          </w:tcPr>
          <w:p w:rsidR="004B4C84" w:rsidRDefault="004B4C84">
            <w:r>
              <w:t>Description</w:t>
            </w:r>
          </w:p>
        </w:tc>
      </w:tr>
      <w:tr w:rsidR="004B4C84" w:rsidTr="0077444E">
        <w:tc>
          <w:tcPr>
            <w:tcW w:w="4428" w:type="dxa"/>
          </w:tcPr>
          <w:p w:rsidR="004B4C84" w:rsidRDefault="004B4C84">
            <w:r>
              <w:t>Alertes actives</w:t>
            </w:r>
          </w:p>
        </w:tc>
        <w:tc>
          <w:tcPr>
            <w:tcW w:w="4428" w:type="dxa"/>
          </w:tcPr>
          <w:p w:rsidR="004B4C84" w:rsidRDefault="004B4C84">
            <w:r>
              <w:t>Affiche les alertes actives pour l’ensemble des fonctionnalités des services Bureau à distance</w:t>
            </w:r>
          </w:p>
        </w:tc>
      </w:tr>
      <w:tr w:rsidR="004B4C84" w:rsidTr="0077444E">
        <w:tc>
          <w:tcPr>
            <w:tcW w:w="4428" w:type="dxa"/>
          </w:tcPr>
          <w:p w:rsidR="004B4C84" w:rsidRDefault="004B4C84">
            <w:r>
              <w:t>État des services Bureau à distance (2008 R2)</w:t>
            </w:r>
          </w:p>
        </w:tc>
        <w:tc>
          <w:tcPr>
            <w:tcW w:w="4428" w:type="dxa"/>
          </w:tcPr>
          <w:p w:rsidR="004B4C84" w:rsidRDefault="004B4C84">
            <w:r>
              <w:t xml:space="preserve">Affiche l’état et les attributs de vos ordinateurs sur lesquels les services Bureau à distance </w:t>
            </w:r>
            <w:r>
              <w:lastRenderedPageBreak/>
              <w:t>sont installés</w:t>
            </w:r>
          </w:p>
        </w:tc>
      </w:tr>
    </w:tbl>
    <w:p w:rsidR="004B4C84" w:rsidRDefault="004B4C84">
      <w:pPr>
        <w:pStyle w:val="TableSpacing"/>
      </w:pPr>
    </w:p>
    <w:p w:rsidR="004B4C84" w:rsidRDefault="004B4C84">
      <w:pPr>
        <w:pStyle w:val="DSTOC5-0"/>
      </w:pPr>
      <w:r>
        <w:t>Analyse de l’intégrité</w:t>
      </w:r>
    </w:p>
    <w:p w:rsidR="004B4C84" w:rsidRDefault="004B4C84">
      <w:pPr>
        <w:pStyle w:val="TableSpacing"/>
      </w:pPr>
    </w:p>
    <w:tbl>
      <w:tblPr>
        <w:tblStyle w:val="TablewithHeader"/>
        <w:tblW w:w="0" w:type="auto"/>
        <w:tblLook w:val="01E0"/>
      </w:tblPr>
      <w:tblGrid>
        <w:gridCol w:w="4406"/>
        <w:gridCol w:w="4406"/>
      </w:tblGrid>
      <w:tr w:rsidR="004B4C84" w:rsidTr="0077444E">
        <w:trPr>
          <w:cnfStyle w:val="100000000000"/>
        </w:trPr>
        <w:tc>
          <w:tcPr>
            <w:tcW w:w="4428" w:type="dxa"/>
          </w:tcPr>
          <w:p w:rsidR="004B4C84" w:rsidRDefault="004B4C84">
            <w:r>
              <w:t>Nom de l’affichage</w:t>
            </w:r>
          </w:p>
        </w:tc>
        <w:tc>
          <w:tcPr>
            <w:tcW w:w="4428" w:type="dxa"/>
          </w:tcPr>
          <w:p w:rsidR="004B4C84" w:rsidRDefault="004B4C84">
            <w:r>
              <w:t>Description</w:t>
            </w:r>
          </w:p>
        </w:tc>
      </w:tr>
      <w:tr w:rsidR="004B4C84" w:rsidTr="0077444E">
        <w:tc>
          <w:tcPr>
            <w:tcW w:w="4428" w:type="dxa"/>
          </w:tcPr>
          <w:p w:rsidR="004B4C84" w:rsidRDefault="004B4C84">
            <w:r>
              <w:t>Intégrité du service Gestionnaire de licences des services Bureau à distance</w:t>
            </w:r>
          </w:p>
        </w:tc>
        <w:tc>
          <w:tcPr>
            <w:tcW w:w="4428" w:type="dxa"/>
          </w:tcPr>
          <w:p w:rsidR="004B4C84" w:rsidRDefault="004B4C84">
            <w:r>
              <w:t>Affichage Tableau de bord précisant l’état et les alertes du service Gestionnaire de licences des services Bureau à distance.</w:t>
            </w:r>
          </w:p>
        </w:tc>
      </w:tr>
      <w:tr w:rsidR="004B4C84" w:rsidTr="0077444E">
        <w:tc>
          <w:tcPr>
            <w:tcW w:w="4428" w:type="dxa"/>
          </w:tcPr>
          <w:p w:rsidR="004B4C84" w:rsidRDefault="004B4C84">
            <w:r>
              <w:t>Intégrité du service Broker pour les connexions Bureau à distance</w:t>
            </w:r>
          </w:p>
        </w:tc>
        <w:tc>
          <w:tcPr>
            <w:tcW w:w="4428" w:type="dxa"/>
          </w:tcPr>
          <w:p w:rsidR="004B4C84" w:rsidRDefault="004B4C84">
            <w:r>
              <w:t>Affichage Tableau de bord précisant l’état et les alertes du service Broker pour les connexions Bureau à distance.</w:t>
            </w:r>
          </w:p>
        </w:tc>
      </w:tr>
      <w:tr w:rsidR="004B4C84" w:rsidTr="0077444E">
        <w:tc>
          <w:tcPr>
            <w:tcW w:w="4428" w:type="dxa"/>
          </w:tcPr>
          <w:p w:rsidR="004B4C84" w:rsidRDefault="004B4C84">
            <w:r>
              <w:t>Intégrité du service Services Bureau à distance</w:t>
            </w:r>
          </w:p>
        </w:tc>
        <w:tc>
          <w:tcPr>
            <w:tcW w:w="4428" w:type="dxa"/>
          </w:tcPr>
          <w:p w:rsidR="004B4C84" w:rsidRDefault="004B4C84">
            <w:r>
              <w:t>Affichage Tableau de bord précisant l’état et les alertes du service Services Bureau à distance.</w:t>
            </w:r>
          </w:p>
        </w:tc>
      </w:tr>
      <w:tr w:rsidR="004B4C84" w:rsidTr="0077444E">
        <w:tc>
          <w:tcPr>
            <w:tcW w:w="4428" w:type="dxa"/>
          </w:tcPr>
          <w:p w:rsidR="004B4C84" w:rsidRDefault="004B4C84">
            <w:r>
              <w:t>Intégrité du service Agent hôte de virtualisation des services Bureau à distance</w:t>
            </w:r>
          </w:p>
        </w:tc>
        <w:tc>
          <w:tcPr>
            <w:tcW w:w="4428" w:type="dxa"/>
          </w:tcPr>
          <w:p w:rsidR="004B4C84" w:rsidRDefault="004B4C84">
            <w:r>
              <w:t>Affichage Tableau de bord précisant l’état et les alertes du service Agent hôte de virtualisation des services Bureau à distance.</w:t>
            </w:r>
          </w:p>
        </w:tc>
      </w:tr>
      <w:tr w:rsidR="004B4C84" w:rsidTr="0077444E">
        <w:tc>
          <w:tcPr>
            <w:tcW w:w="4428" w:type="dxa"/>
          </w:tcPr>
          <w:p w:rsidR="004B4C84" w:rsidRDefault="004B4C84">
            <w:r>
              <w:t>Intégrité du serveur d’accès Bureau à distance par le Web</w:t>
            </w:r>
          </w:p>
        </w:tc>
        <w:tc>
          <w:tcPr>
            <w:tcW w:w="4428" w:type="dxa"/>
          </w:tcPr>
          <w:p w:rsidR="004B4C84" w:rsidRDefault="004B4C84">
            <w:r>
              <w:t>Affichage Tableau de bord précisant l’état et les alertes du serveur d’accès Bureau à distance par le Web.</w:t>
            </w:r>
          </w:p>
        </w:tc>
      </w:tr>
      <w:tr w:rsidR="004B4C84" w:rsidTr="0077444E">
        <w:tc>
          <w:tcPr>
            <w:tcW w:w="4428" w:type="dxa"/>
          </w:tcPr>
          <w:p w:rsidR="004B4C84" w:rsidRDefault="004B4C84">
            <w:r>
              <w:t>Intégrité du service Passerelle des services Bureau à distance</w:t>
            </w:r>
          </w:p>
        </w:tc>
        <w:tc>
          <w:tcPr>
            <w:tcW w:w="4428" w:type="dxa"/>
          </w:tcPr>
          <w:p w:rsidR="004B4C84" w:rsidRDefault="004B4C84">
            <w:r>
              <w:t>Affichage Tableau de bord précisant l’état et les alertes du service Passerelle des services Bureau à distance.</w:t>
            </w:r>
          </w:p>
        </w:tc>
      </w:tr>
    </w:tbl>
    <w:p w:rsidR="004B4C84" w:rsidRDefault="004B4C84">
      <w:pPr>
        <w:pStyle w:val="TableSpacing"/>
      </w:pPr>
    </w:p>
    <w:p w:rsidR="004B4C84" w:rsidRDefault="004B4C84">
      <w:pPr>
        <w:pStyle w:val="DSTOC5-0"/>
      </w:pPr>
      <w:r>
        <w:t>Performances</w:t>
      </w:r>
    </w:p>
    <w:p w:rsidR="004B4C84" w:rsidRDefault="004B4C84">
      <w:pPr>
        <w:pStyle w:val="TableSpacing"/>
      </w:pPr>
    </w:p>
    <w:tbl>
      <w:tblPr>
        <w:tblStyle w:val="TablewithHeader"/>
        <w:tblW w:w="0" w:type="auto"/>
        <w:tblLook w:val="01E0"/>
      </w:tblPr>
      <w:tblGrid>
        <w:gridCol w:w="4406"/>
        <w:gridCol w:w="4406"/>
      </w:tblGrid>
      <w:tr w:rsidR="004B4C84" w:rsidTr="0077444E">
        <w:trPr>
          <w:cnfStyle w:val="100000000000"/>
        </w:trPr>
        <w:tc>
          <w:tcPr>
            <w:tcW w:w="4428" w:type="dxa"/>
          </w:tcPr>
          <w:p w:rsidR="004B4C84" w:rsidRDefault="004B4C84">
            <w:r>
              <w:t>Nom de l’affichage</w:t>
            </w:r>
          </w:p>
        </w:tc>
        <w:tc>
          <w:tcPr>
            <w:tcW w:w="4428" w:type="dxa"/>
          </w:tcPr>
          <w:p w:rsidR="004B4C84" w:rsidRDefault="004B4C84">
            <w:r>
              <w:t>Description</w:t>
            </w:r>
          </w:p>
        </w:tc>
      </w:tr>
      <w:tr w:rsidR="004B4C84" w:rsidTr="0077444E">
        <w:tc>
          <w:tcPr>
            <w:tcW w:w="4428" w:type="dxa"/>
          </w:tcPr>
          <w:p w:rsidR="004B4C84" w:rsidRDefault="004B4C84">
            <w:r>
              <w:t>Statistiques de session Hôte de session Bureau à distance</w:t>
            </w:r>
          </w:p>
        </w:tc>
        <w:tc>
          <w:tcPr>
            <w:tcW w:w="4428" w:type="dxa"/>
          </w:tcPr>
          <w:p w:rsidR="004B4C84" w:rsidRDefault="004B4C84">
            <w:r>
              <w:t>Affichage Tableau de bord dévoilant les données de performances des sessions Bureau à distance actives et des sessions Bureau à distance totales.</w:t>
            </w:r>
          </w:p>
        </w:tc>
      </w:tr>
      <w:tr w:rsidR="004B4C84" w:rsidTr="0077444E">
        <w:tc>
          <w:tcPr>
            <w:tcW w:w="4428" w:type="dxa"/>
          </w:tcPr>
          <w:p w:rsidR="004B4C84" w:rsidRDefault="004B4C84">
            <w:r>
              <w:t>Statistiques de session Passerelle des services Bureau à distance</w:t>
            </w:r>
          </w:p>
        </w:tc>
        <w:tc>
          <w:tcPr>
            <w:tcW w:w="4428" w:type="dxa"/>
          </w:tcPr>
          <w:p w:rsidR="004B4C84" w:rsidRDefault="004B4C84">
            <w:r>
              <w:t>Affichage Tableau de bord dévoilant les données de performances du service Passerelle des services Bureau à distance.</w:t>
            </w:r>
          </w:p>
        </w:tc>
      </w:tr>
      <w:tr w:rsidR="004B4C84" w:rsidTr="0077444E">
        <w:tc>
          <w:tcPr>
            <w:tcW w:w="4428" w:type="dxa"/>
          </w:tcPr>
          <w:p w:rsidR="004B4C84" w:rsidRDefault="004B4C84">
            <w:r>
              <w:t>Statistiques de session Hôte de virtualisation des services Bureau à distance</w:t>
            </w:r>
          </w:p>
        </w:tc>
        <w:tc>
          <w:tcPr>
            <w:tcW w:w="4428" w:type="dxa"/>
          </w:tcPr>
          <w:p w:rsidR="004B4C84" w:rsidRDefault="004B4C84">
            <w:r>
              <w:t xml:space="preserve">Affichage Tableau de bord dévoilant les données de performances du service Hôte de </w:t>
            </w:r>
            <w:r>
              <w:lastRenderedPageBreak/>
              <w:t>virtualisation des services Bureau à distance.</w:t>
            </w:r>
          </w:p>
        </w:tc>
      </w:tr>
    </w:tbl>
    <w:p w:rsidR="004B4C84" w:rsidRDefault="004B4C84">
      <w:pPr>
        <w:pStyle w:val="TableSpacing"/>
      </w:pPr>
    </w:p>
    <w:p w:rsidR="004B4C84" w:rsidRDefault="004B4C84">
      <w:pPr>
        <w:pStyle w:val="DSTOC5-0"/>
      </w:pPr>
      <w:r>
        <w:t>Performances – Windows Server</w:t>
      </w:r>
    </w:p>
    <w:p w:rsidR="004B4C84" w:rsidRDefault="004B4C84">
      <w:pPr>
        <w:pStyle w:val="TableSpacing"/>
      </w:pPr>
    </w:p>
    <w:tbl>
      <w:tblPr>
        <w:tblStyle w:val="TablewithHeader"/>
        <w:tblW w:w="0" w:type="auto"/>
        <w:tblLook w:val="01E0"/>
      </w:tblPr>
      <w:tblGrid>
        <w:gridCol w:w="4402"/>
        <w:gridCol w:w="4410"/>
      </w:tblGrid>
      <w:tr w:rsidR="004B4C84" w:rsidTr="0077444E">
        <w:trPr>
          <w:cnfStyle w:val="100000000000"/>
        </w:trPr>
        <w:tc>
          <w:tcPr>
            <w:tcW w:w="4428" w:type="dxa"/>
          </w:tcPr>
          <w:p w:rsidR="004B4C84" w:rsidRDefault="004B4C84">
            <w:r>
              <w:t>Nom de l’affichage</w:t>
            </w:r>
          </w:p>
        </w:tc>
        <w:tc>
          <w:tcPr>
            <w:tcW w:w="4428" w:type="dxa"/>
          </w:tcPr>
          <w:p w:rsidR="004B4C84" w:rsidRDefault="004B4C84">
            <w:r>
              <w:t>Description</w:t>
            </w:r>
          </w:p>
        </w:tc>
      </w:tr>
      <w:tr w:rsidR="004B4C84" w:rsidTr="0077444E">
        <w:tc>
          <w:tcPr>
            <w:tcW w:w="4428" w:type="dxa"/>
          </w:tcPr>
          <w:p w:rsidR="004B4C84" w:rsidRDefault="004B4C84">
            <w:r>
              <w:t>Capacité du disque</w:t>
            </w:r>
          </w:p>
        </w:tc>
        <w:tc>
          <w:tcPr>
            <w:tcW w:w="4428" w:type="dxa"/>
          </w:tcPr>
          <w:p w:rsidR="004B4C84" w:rsidRDefault="004B4C84">
            <w:r>
              <w:t>Affichage Tableau de bord indiquant l’espace libre sous forme de pourcentage et en mégaoctets.</w:t>
            </w:r>
          </w:p>
          <w:p w:rsidR="004B4C84" w:rsidRDefault="004B4C84">
            <w:pPr>
              <w:pStyle w:val="AlertLabel"/>
              <w:framePr w:wrap="notBeside"/>
            </w:pPr>
            <w:r>
              <w:rPr>
                <w:noProof/>
              </w:rPr>
              <w:drawing>
                <wp:inline distT="0" distB="0" distL="0" distR="0">
                  <wp:extent cx="228600" cy="152400"/>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Remarque </w:t>
            </w:r>
          </w:p>
          <w:p w:rsidR="004B4C84" w:rsidRDefault="004B4C84">
            <w:pPr>
              <w:pStyle w:val="AlertText"/>
            </w:pPr>
            <w:r>
              <w:t>Pour utiliser cet affichage le pack d’administration du système d’exploitation Windows Server doit être installé.</w:t>
            </w:r>
          </w:p>
        </w:tc>
      </w:tr>
      <w:tr w:rsidR="004B4C84" w:rsidTr="0077444E">
        <w:tc>
          <w:tcPr>
            <w:tcW w:w="4428" w:type="dxa"/>
          </w:tcPr>
          <w:p w:rsidR="004B4C84" w:rsidRDefault="004B4C84">
            <w:r>
              <w:t>Performances du disque</w:t>
            </w:r>
          </w:p>
        </w:tc>
        <w:tc>
          <w:tcPr>
            <w:tcW w:w="4428" w:type="dxa"/>
          </w:tcPr>
          <w:p w:rsidR="004B4C84" w:rsidRDefault="004B4C84">
            <w:r>
              <w:t>Affichage Tableau de bord précisant (en secondes) la performance moyenne du disque et la durée moyenne de la file d’attente de ce dernier.</w:t>
            </w:r>
          </w:p>
          <w:p w:rsidR="004B4C84" w:rsidRDefault="004B4C84">
            <w:pPr>
              <w:pStyle w:val="AlertLabel"/>
              <w:framePr w:wrap="notBeside"/>
            </w:pPr>
            <w:r>
              <w:rPr>
                <w:noProof/>
              </w:rPr>
              <w:drawing>
                <wp:inline distT="0" distB="0" distL="0" distR="0">
                  <wp:extent cx="228600" cy="1524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Remarque </w:t>
            </w:r>
          </w:p>
          <w:p w:rsidR="004B4C84" w:rsidRDefault="004B4C84">
            <w:pPr>
              <w:pStyle w:val="AlertText"/>
            </w:pPr>
            <w:r>
              <w:t>Pour utiliser cet affichage le pack d’administration du système d’exploitation Windows Server doit être installé.</w:t>
            </w:r>
          </w:p>
        </w:tc>
      </w:tr>
      <w:tr w:rsidR="004B4C84" w:rsidTr="0077444E">
        <w:tc>
          <w:tcPr>
            <w:tcW w:w="4428" w:type="dxa"/>
          </w:tcPr>
          <w:p w:rsidR="004B4C84" w:rsidRDefault="004B4C84">
            <w:r>
              <w:t>Utilisation disque</w:t>
            </w:r>
          </w:p>
        </w:tc>
        <w:tc>
          <w:tcPr>
            <w:tcW w:w="4428" w:type="dxa"/>
          </w:tcPr>
          <w:p w:rsidR="004B4C84" w:rsidRDefault="004B4C84">
            <w:r>
              <w:t>Affichage Tableau de bord précisant (en secondes) la performance du disque en octets et les lectures du disque.</w:t>
            </w:r>
          </w:p>
          <w:p w:rsidR="004B4C84" w:rsidRDefault="004B4C84">
            <w:pPr>
              <w:pStyle w:val="AlertLabel"/>
              <w:framePr w:wrap="notBeside"/>
            </w:pPr>
            <w:r>
              <w:rPr>
                <w:noProof/>
              </w:rPr>
              <w:drawing>
                <wp:inline distT="0" distB="0" distL="0" distR="0">
                  <wp:extent cx="228600" cy="1524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Remarque </w:t>
            </w:r>
          </w:p>
          <w:p w:rsidR="004B4C84" w:rsidRDefault="004B4C84">
            <w:pPr>
              <w:pStyle w:val="AlertText"/>
            </w:pPr>
            <w:r>
              <w:t>Pour utiliser cet affichage le pack d’administration du système d’exploitation Windows Server doit être installé.</w:t>
            </w:r>
          </w:p>
        </w:tc>
      </w:tr>
      <w:tr w:rsidR="004B4C84" w:rsidTr="0077444E">
        <w:tc>
          <w:tcPr>
            <w:tcW w:w="4428" w:type="dxa"/>
          </w:tcPr>
          <w:p w:rsidR="004B4C84" w:rsidRDefault="004B4C84">
            <w:r>
              <w:t>Utilisation mémoire (fichier d’échange)</w:t>
            </w:r>
          </w:p>
        </w:tc>
        <w:tc>
          <w:tcPr>
            <w:tcW w:w="4428" w:type="dxa"/>
          </w:tcPr>
          <w:p w:rsidR="004B4C84" w:rsidRDefault="004B4C84">
            <w:r>
              <w:t>Affichage Tableau de bord mentionnant l’utilisation en pourcentage du fichier d’échange et les écritures de page mémoire par seconde.</w:t>
            </w:r>
          </w:p>
          <w:p w:rsidR="004B4C84" w:rsidRDefault="004B4C84">
            <w:pPr>
              <w:pStyle w:val="AlertLabel"/>
              <w:framePr w:wrap="notBeside"/>
            </w:pPr>
            <w:r>
              <w:rPr>
                <w:noProof/>
              </w:rPr>
              <w:drawing>
                <wp:inline distT="0" distB="0" distL="0" distR="0">
                  <wp:extent cx="2286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Remarque </w:t>
            </w:r>
          </w:p>
          <w:p w:rsidR="004B4C84" w:rsidRDefault="004B4C84">
            <w:pPr>
              <w:pStyle w:val="AlertText"/>
            </w:pPr>
            <w:r>
              <w:t xml:space="preserve">Pour utiliser cet affichage le pack d’administration du système </w:t>
            </w:r>
            <w:r>
              <w:lastRenderedPageBreak/>
              <w:t>d’exploitation Windows Server doit être installé.</w:t>
            </w:r>
          </w:p>
        </w:tc>
      </w:tr>
      <w:tr w:rsidR="004B4C84" w:rsidTr="0077444E">
        <w:tc>
          <w:tcPr>
            <w:tcW w:w="4428" w:type="dxa"/>
          </w:tcPr>
          <w:p w:rsidR="004B4C84" w:rsidRDefault="004B4C84">
            <w:r>
              <w:lastRenderedPageBreak/>
              <w:t>Utilisation mémoire (physique)</w:t>
            </w:r>
          </w:p>
        </w:tc>
        <w:tc>
          <w:tcPr>
            <w:tcW w:w="4428" w:type="dxa"/>
          </w:tcPr>
          <w:p w:rsidR="004B4C84" w:rsidRDefault="004B4C84">
            <w:r>
              <w:t>Affichage Tableau de bord indiquant les données de performance inhérentes à l’utilisation de la mémoire physique.</w:t>
            </w:r>
          </w:p>
          <w:p w:rsidR="004B4C84" w:rsidRDefault="004B4C84">
            <w:pPr>
              <w:pStyle w:val="AlertLabel"/>
              <w:framePr w:wrap="notBeside"/>
            </w:pPr>
            <w:r>
              <w:rPr>
                <w:noProof/>
              </w:rPr>
              <w:drawing>
                <wp:inline distT="0" distB="0" distL="0" distR="0">
                  <wp:extent cx="2286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Remarque </w:t>
            </w:r>
          </w:p>
          <w:p w:rsidR="004B4C84" w:rsidRDefault="004B4C84">
            <w:pPr>
              <w:pStyle w:val="AlertText"/>
            </w:pPr>
            <w:r>
              <w:t>Pour utiliser cet affichage le pack d’administration du système d’exploitation Windows Server doit être installé.</w:t>
            </w:r>
          </w:p>
        </w:tc>
      </w:tr>
      <w:tr w:rsidR="004B4C84" w:rsidTr="0077444E">
        <w:tc>
          <w:tcPr>
            <w:tcW w:w="4428" w:type="dxa"/>
          </w:tcPr>
          <w:p w:rsidR="004B4C84" w:rsidRDefault="004B4C84">
            <w:r>
              <w:t>Utilisation de la carte réseau</w:t>
            </w:r>
          </w:p>
        </w:tc>
        <w:tc>
          <w:tcPr>
            <w:tcW w:w="4428" w:type="dxa"/>
          </w:tcPr>
          <w:p w:rsidR="004B4C84" w:rsidRDefault="004B4C84">
            <w:r>
              <w:t>Affichage Tableau de bord précisant (en secondes) les octets reçus via l’interface réseau et les octets totaux de l’interface réseau.</w:t>
            </w:r>
          </w:p>
          <w:p w:rsidR="004B4C84" w:rsidRDefault="004B4C84">
            <w:pPr>
              <w:pStyle w:val="AlertLabel"/>
              <w:framePr w:wrap="notBeside"/>
            </w:pPr>
            <w:r>
              <w:rPr>
                <w:noProof/>
              </w:rPr>
              <w:drawing>
                <wp:inline distT="0" distB="0" distL="0" distR="0">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Remarque </w:t>
            </w:r>
          </w:p>
          <w:p w:rsidR="004B4C84" w:rsidRDefault="004B4C84">
            <w:pPr>
              <w:pStyle w:val="AlertText"/>
            </w:pPr>
            <w:r>
              <w:t>Pour utiliser cet affichage le pack d’administration du système d’exploitation Windows Server doit être installé.</w:t>
            </w:r>
          </w:p>
        </w:tc>
      </w:tr>
      <w:tr w:rsidR="004B4C84" w:rsidTr="0077444E">
        <w:tc>
          <w:tcPr>
            <w:tcW w:w="4428" w:type="dxa"/>
          </w:tcPr>
          <w:p w:rsidR="004B4C84" w:rsidRDefault="004B4C84">
            <w:r>
              <w:t>Performances de processeur</w:t>
            </w:r>
          </w:p>
        </w:tc>
        <w:tc>
          <w:tcPr>
            <w:tcW w:w="4428" w:type="dxa"/>
          </w:tcPr>
          <w:p w:rsidR="004B4C84" w:rsidRDefault="004B4C84">
            <w:r>
              <w:t>Affichage Tableau de bord dévoilant les données de performances du temps processeur et la durée de la file d’attente du processeur.</w:t>
            </w:r>
          </w:p>
          <w:p w:rsidR="004B4C84" w:rsidRDefault="004B4C84">
            <w:pPr>
              <w:pStyle w:val="AlertLabel"/>
              <w:framePr w:wrap="notBeside"/>
            </w:pPr>
            <w:r>
              <w:rPr>
                <w:noProof/>
              </w:rPr>
              <w:drawing>
                <wp:inline distT="0" distB="0" distL="0" distR="0">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Remarque </w:t>
            </w:r>
          </w:p>
          <w:p w:rsidR="004B4C84" w:rsidRDefault="004B4C84">
            <w:pPr>
              <w:pStyle w:val="AlertText"/>
            </w:pPr>
            <w:r>
              <w:t>Pour utiliser cet affichage le pack d’administration du système d’exploitation Windows Server doit être installé.</w:t>
            </w:r>
          </w:p>
        </w:tc>
      </w:tr>
    </w:tbl>
    <w:p w:rsidR="004B4C84" w:rsidRDefault="004B4C84">
      <w:pPr>
        <w:pStyle w:val="TableSpacing"/>
      </w:pPr>
    </w:p>
    <w:p w:rsidR="004B4C84" w:rsidRDefault="004B4C84">
      <w:pPr>
        <w:pStyle w:val="DSTOC3-0"/>
      </w:pPr>
      <w:r>
        <w:t>Scénarios d’analyse clés</w:t>
      </w:r>
    </w:p>
    <w:p w:rsidR="004B4C84" w:rsidRDefault="004B4C84">
      <w:r>
        <w:t>Le pack d’administration des services Bureau à distance analyse la disponibilité et les performances des serveurs : serveur hôte de session Bureau à distance, serveur de licences des services Bureau à distance, serveur du service Broker pour les connexions Bureau à distance, serveur d’accès Bureau à distance par le Web, serveur de passerelle Bureau à distance et serveur hôte de virtualisation des services Bureau à distance. Le tableau suivant décrit les scénarios d’analyse clés :</w:t>
      </w:r>
    </w:p>
    <w:p w:rsidR="004B4C84" w:rsidRDefault="004B4C84">
      <w:pPr>
        <w:pStyle w:val="TableSpacing"/>
      </w:pPr>
    </w:p>
    <w:tbl>
      <w:tblPr>
        <w:tblStyle w:val="TablewithHeader"/>
        <w:tblW w:w="0" w:type="auto"/>
        <w:tblLook w:val="01E0"/>
      </w:tblPr>
      <w:tblGrid>
        <w:gridCol w:w="4406"/>
        <w:gridCol w:w="4406"/>
      </w:tblGrid>
      <w:tr w:rsidR="004B4C84" w:rsidTr="0077444E">
        <w:trPr>
          <w:cnfStyle w:val="100000000000"/>
        </w:trPr>
        <w:tc>
          <w:tcPr>
            <w:tcW w:w="4428" w:type="dxa"/>
          </w:tcPr>
          <w:p w:rsidR="004B4C84" w:rsidRDefault="004B4C84">
            <w:r>
              <w:lastRenderedPageBreak/>
              <w:t>Scénario</w:t>
            </w:r>
          </w:p>
        </w:tc>
        <w:tc>
          <w:tcPr>
            <w:tcW w:w="4428" w:type="dxa"/>
          </w:tcPr>
          <w:p w:rsidR="004B4C84" w:rsidRDefault="004B4C84">
            <w:r>
              <w:t>Description</w:t>
            </w:r>
          </w:p>
        </w:tc>
      </w:tr>
      <w:tr w:rsidR="004B4C84" w:rsidTr="0077444E">
        <w:tc>
          <w:tcPr>
            <w:tcW w:w="4428" w:type="dxa"/>
          </w:tcPr>
          <w:p w:rsidR="004B4C84" w:rsidRDefault="004B4C84">
            <w:r>
              <w:t>Performances du serveur hôte de session Bureau à distance</w:t>
            </w:r>
          </w:p>
        </w:tc>
        <w:tc>
          <w:tcPr>
            <w:tcW w:w="4428" w:type="dxa"/>
          </w:tcPr>
          <w:p w:rsidR="004B4C84" w:rsidRDefault="004B4C84">
            <w:r>
              <w:t>Vérifie l’état du serveur hôte de session Bureau à distance au moyen de trois analyseurs de performance clés activés par défaut : le nombre de sessions actives, le nombre de sessions inactives et le temps processeur total par session.</w:t>
            </w:r>
          </w:p>
          <w:p w:rsidR="004B4C84" w:rsidRDefault="004B4C84">
            <w:r>
              <w:t>Lorsque le nombre de sessions actives approche la performance limite du matériel de l'ordinateur, l'analyseur passe à un état de fonctionnement critique et émet une alerte.</w:t>
            </w:r>
          </w:p>
          <w:p w:rsidR="004B4C84" w:rsidRDefault="004B4C84">
            <w:r>
              <w:t>Lorsque les sessions inactives dépassent le nombre maximal défini pour le nœud des services Bureau à distance dans la Stratégie de groupe ou dans la console de configuration Hôte de session Bureau à distance, l’analyseur passe à un état critique et émet une alerte.</w:t>
            </w:r>
          </w:p>
          <w:p w:rsidR="004B4C84" w:rsidRDefault="004B4C84">
            <w:r>
              <w:t>Lorsque le temps de traitement total par session dépasse 80 pour cent de la capacité totale du processeur pendant 15 minutes, l'analyseur passe à un état critique et émet une alerte.</w:t>
            </w:r>
          </w:p>
        </w:tc>
      </w:tr>
      <w:tr w:rsidR="004B4C84" w:rsidTr="0077444E">
        <w:tc>
          <w:tcPr>
            <w:tcW w:w="4428" w:type="dxa"/>
          </w:tcPr>
          <w:p w:rsidR="004B4C84" w:rsidRDefault="004B4C84">
            <w:r>
              <w:t>Analyse du serveur hôte de session Bureau à distance</w:t>
            </w:r>
          </w:p>
        </w:tc>
        <w:tc>
          <w:tcPr>
            <w:tcW w:w="4428" w:type="dxa"/>
          </w:tcPr>
          <w:p w:rsidR="004B4C84" w:rsidRDefault="004B4C84">
            <w:r>
              <w:t>Garantit l’exécution du service Services Bureau à distance et teste la connectivité avec le serveur de licences des services Bureau à distance et le serveur du service Broker pour les connexions Bureau à distance. Il surveille également le nombre de sessions ouvertes et de sessions déconnectées.</w:t>
            </w:r>
          </w:p>
        </w:tc>
      </w:tr>
      <w:tr w:rsidR="004B4C84" w:rsidTr="0077444E">
        <w:tc>
          <w:tcPr>
            <w:tcW w:w="4428" w:type="dxa"/>
          </w:tcPr>
          <w:p w:rsidR="004B4C84" w:rsidRDefault="004B4C84">
            <w:r>
              <w:t>Analyse du serveur de licences des services Bureau à distance</w:t>
            </w:r>
          </w:p>
        </w:tc>
        <w:tc>
          <w:tcPr>
            <w:tcW w:w="4428" w:type="dxa"/>
          </w:tcPr>
          <w:p w:rsidR="004B4C84" w:rsidRDefault="004B4C84">
            <w:r>
              <w:t>Garantit l’exécution du service Gestionnaire de licences des services Bureau à distance et s’assure que les licences d’accès client requises pour les services Bureau à distance sont installées et disponibles sur le serveur de licences des services Bureau à distance. Le fichier de base de données du Gestionnaire de licences des services Bureau à distance est restauré lorsqu’une modification est apportée à l’ancien fichier de base de données.</w:t>
            </w:r>
          </w:p>
        </w:tc>
      </w:tr>
      <w:tr w:rsidR="004B4C84" w:rsidTr="0077444E">
        <w:tc>
          <w:tcPr>
            <w:tcW w:w="4428" w:type="dxa"/>
          </w:tcPr>
          <w:p w:rsidR="004B4C84" w:rsidRDefault="004B4C84">
            <w:r>
              <w:t xml:space="preserve">Analyse du serveur de passerelle Bureau à </w:t>
            </w:r>
            <w:r>
              <w:lastRenderedPageBreak/>
              <w:t>distance</w:t>
            </w:r>
          </w:p>
        </w:tc>
        <w:tc>
          <w:tcPr>
            <w:tcW w:w="4428" w:type="dxa"/>
          </w:tcPr>
          <w:p w:rsidR="004B4C84" w:rsidRDefault="004B4C84">
            <w:r>
              <w:lastRenderedPageBreak/>
              <w:t xml:space="preserve">Garantit l’exécution du service Passerelle des </w:t>
            </w:r>
            <w:r>
              <w:lastRenderedPageBreak/>
              <w:t>services Bureau à distance et vérifie qu’il est en mesure de se connecter au serveur hôte de session Bureau à distance. Surveille le nombre de connexions actuelles.</w:t>
            </w:r>
          </w:p>
        </w:tc>
      </w:tr>
      <w:tr w:rsidR="004B4C84" w:rsidTr="0077444E">
        <w:tc>
          <w:tcPr>
            <w:tcW w:w="4428" w:type="dxa"/>
          </w:tcPr>
          <w:p w:rsidR="004B4C84" w:rsidRDefault="004B4C84">
            <w:r>
              <w:lastRenderedPageBreak/>
              <w:t>Analyse du serveur du service Broker pour les connexions Bureau à distance</w:t>
            </w:r>
          </w:p>
        </w:tc>
        <w:tc>
          <w:tcPr>
            <w:tcW w:w="4428" w:type="dxa"/>
          </w:tcPr>
          <w:p w:rsidR="004B4C84" w:rsidRDefault="004B4C84">
            <w:r>
              <w:t>Garantit l’exécution du service Broker pour les connexions Bureau à distance. Surveille la disponibilité et la configuration du service de rôle Accès Bureau à distance par le Web.</w:t>
            </w:r>
          </w:p>
        </w:tc>
      </w:tr>
      <w:tr w:rsidR="004B4C84" w:rsidTr="0077444E">
        <w:tc>
          <w:tcPr>
            <w:tcW w:w="4428" w:type="dxa"/>
          </w:tcPr>
          <w:p w:rsidR="004B4C84" w:rsidRDefault="004B4C84">
            <w:r>
              <w:t>Analyse du serveur d’accès Bureau à distance par le Web</w:t>
            </w:r>
          </w:p>
        </w:tc>
        <w:tc>
          <w:tcPr>
            <w:tcW w:w="4428" w:type="dxa"/>
          </w:tcPr>
          <w:p w:rsidR="004B4C84" w:rsidRDefault="004B4C84">
            <w:r>
              <w:t>Garantit l’exécution du serveur d’accès Bureau à distance par le Web. Surveille la connectivité entre le serveur hôte de session Bureau à distance et le serveur d’accès Bureau à distance par le Web.</w:t>
            </w:r>
          </w:p>
        </w:tc>
      </w:tr>
    </w:tbl>
    <w:p w:rsidR="004B4C84" w:rsidRDefault="004B4C84">
      <w:pPr>
        <w:pStyle w:val="TableSpacing"/>
      </w:pPr>
    </w:p>
    <w:p w:rsidR="004B4C84" w:rsidRDefault="004B4C84">
      <w:pPr>
        <w:pStyle w:val="DSTOC4-0"/>
      </w:pPr>
      <w:r>
        <w:t>Obtenir des informations à propos d’un analyseur</w:t>
      </w:r>
    </w:p>
    <w:p w:rsidR="004B4C84" w:rsidRDefault="004B4C84">
      <w:r>
        <w:t>En consultant la base de connaissances de produit d’un analyseur, vous pouvez obtenir des informations à propos de l’analyseur et lire des solutions potentielles pour le problème qu’il détecte.</w:t>
      </w:r>
    </w:p>
    <w:p w:rsidR="004B4C84" w:rsidRDefault="004B4C84">
      <w:pPr>
        <w:pStyle w:val="ProcedureTitle"/>
        <w:framePr w:wrap="notBeside"/>
      </w:pPr>
      <w:r>
        <w:rPr>
          <w:noProof/>
        </w:rPr>
        <w:drawing>
          <wp:inline distT="0" distB="0" distL="0" distR="0">
            <wp:extent cx="152400" cy="152400"/>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Pour consulter la base de connaissances d’un analyseur :</w:t>
      </w:r>
    </w:p>
    <w:tbl>
      <w:tblPr>
        <w:tblStyle w:val="ProcedureTable"/>
        <w:tblW w:w="0" w:type="auto"/>
        <w:tblLook w:val="01E0"/>
      </w:tblPr>
      <w:tblGrid>
        <w:gridCol w:w="8280"/>
      </w:tblGrid>
      <w:tr w:rsidR="004B4C84">
        <w:tc>
          <w:tcPr>
            <w:tcW w:w="8856" w:type="dxa"/>
          </w:tcPr>
          <w:p w:rsidR="004B4C84" w:rsidRDefault="004B4C84" w:rsidP="004B4C84">
            <w:pPr>
              <w:pStyle w:val="NumberedList1"/>
              <w:numPr>
                <w:ilvl w:val="0"/>
                <w:numId w:val="0"/>
              </w:numPr>
              <w:tabs>
                <w:tab w:val="left" w:pos="360"/>
              </w:tabs>
              <w:ind w:left="360" w:hanging="360"/>
            </w:pPr>
            <w:r>
              <w:t>1.</w:t>
            </w:r>
            <w:r>
              <w:tab/>
              <w:t xml:space="preserve">Dans la console Opérateur, cliquez sur </w:t>
            </w:r>
            <w:r>
              <w:rPr>
                <w:rStyle w:val="UI"/>
              </w:rPr>
              <w:t>Création</w:t>
            </w:r>
            <w:r>
              <w:t>.</w:t>
            </w:r>
          </w:p>
          <w:p w:rsidR="004B4C84" w:rsidRDefault="004B4C84" w:rsidP="004B4C84">
            <w:pPr>
              <w:pStyle w:val="NumberedList1"/>
              <w:numPr>
                <w:ilvl w:val="0"/>
                <w:numId w:val="0"/>
              </w:numPr>
              <w:tabs>
                <w:tab w:val="left" w:pos="360"/>
              </w:tabs>
              <w:ind w:left="360" w:hanging="360"/>
            </w:pPr>
            <w:r>
              <w:t>2.</w:t>
            </w:r>
            <w:r>
              <w:tab/>
              <w:t xml:space="preserve">Dans le volet de navigation, développez </w:t>
            </w:r>
            <w:r>
              <w:rPr>
                <w:rStyle w:val="UI"/>
              </w:rPr>
              <w:t>Objets du pack d’administration</w:t>
            </w:r>
            <w:r>
              <w:t xml:space="preserve">, puis cliquez sur </w:t>
            </w:r>
            <w:r>
              <w:rPr>
                <w:rStyle w:val="UI"/>
              </w:rPr>
              <w:t>Analyseurs</w:t>
            </w:r>
            <w:r>
              <w:t>.</w:t>
            </w:r>
          </w:p>
          <w:p w:rsidR="004B4C84" w:rsidRDefault="004B4C84" w:rsidP="004B4C84">
            <w:pPr>
              <w:pStyle w:val="NumberedList1"/>
              <w:numPr>
                <w:ilvl w:val="0"/>
                <w:numId w:val="0"/>
              </w:numPr>
              <w:tabs>
                <w:tab w:val="left" w:pos="360"/>
              </w:tabs>
              <w:ind w:left="360" w:hanging="360"/>
            </w:pPr>
            <w:r>
              <w:t>3.</w:t>
            </w:r>
            <w:r>
              <w:tab/>
              <w:t>Dans la liste des analyseurs, développez la cible souhaitée jusqu’à ce que l’analyseur apparaisse.</w:t>
            </w:r>
          </w:p>
          <w:p w:rsidR="004B4C84" w:rsidRDefault="004B4C84">
            <w:pPr>
              <w:pStyle w:val="AlertLabelinList1"/>
              <w:framePr w:wrap="notBeside"/>
            </w:pPr>
            <w:r>
              <w:rPr>
                <w:noProof/>
              </w:rPr>
              <w:drawing>
                <wp:inline distT="0" distB="0" distL="0" distR="0">
                  <wp:extent cx="228600" cy="152400"/>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Remarque </w:t>
            </w:r>
          </w:p>
          <w:p w:rsidR="004B4C84" w:rsidRDefault="004B4C84">
            <w:pPr>
              <w:pStyle w:val="AlertTextinList1"/>
            </w:pPr>
            <w:r>
              <w:t xml:space="preserve">Pour rechercher un analyseur, dans la zone </w:t>
            </w:r>
            <w:r>
              <w:rPr>
                <w:rStyle w:val="UI"/>
              </w:rPr>
              <w:t>Chercher</w:t>
            </w:r>
            <w:r>
              <w:t xml:space="preserve">, tapez le nom d’un analyseur ou des mots que son nom peut contenir, puis cliquez sur </w:t>
            </w:r>
            <w:r>
              <w:rPr>
                <w:rStyle w:val="UI"/>
              </w:rPr>
              <w:t>Rechercher maintenant</w:t>
            </w:r>
            <w:r>
              <w:t>.</w:t>
            </w:r>
          </w:p>
          <w:p w:rsidR="004B4C84" w:rsidRDefault="004B4C84" w:rsidP="004B4C84">
            <w:pPr>
              <w:pStyle w:val="NumberedList1"/>
              <w:numPr>
                <w:ilvl w:val="0"/>
                <w:numId w:val="0"/>
              </w:numPr>
              <w:tabs>
                <w:tab w:val="left" w:pos="360"/>
              </w:tabs>
              <w:ind w:left="360" w:hanging="360"/>
            </w:pPr>
            <w:r>
              <w:t>4.</w:t>
            </w:r>
            <w:r>
              <w:tab/>
              <w:t xml:space="preserve">Cliquez avec le bouton droit sur l’analyseur choisi, cliquez sur </w:t>
            </w:r>
            <w:r>
              <w:rPr>
                <w:rStyle w:val="UI"/>
              </w:rPr>
              <w:t>Propriétés</w:t>
            </w:r>
            <w:r>
              <w:t xml:space="preserve">, puis sur l’onglet </w:t>
            </w:r>
            <w:r>
              <w:rPr>
                <w:rStyle w:val="UI"/>
              </w:rPr>
              <w:t>Base de connaissances du produit</w:t>
            </w:r>
            <w:r>
              <w:t>.</w:t>
            </w:r>
          </w:p>
        </w:tc>
      </w:tr>
    </w:tbl>
    <w:p w:rsidR="004B4C84" w:rsidRDefault="004B4C84">
      <w:pPr>
        <w:pStyle w:val="DSTOC3-0"/>
      </w:pPr>
      <w:r>
        <w:t>Placement des objets analysés en mode Maintenance</w:t>
      </w:r>
    </w:p>
    <w:p w:rsidR="004B4C84" w:rsidRDefault="004B4C84">
      <w:r>
        <w:t xml:space="preserve">Lorsqu’un objet analysé, par exemple un ordinateur ou une application distribuée, est déconnecté pour des raisons de maintenance, Operations Manager 2007 détecte l’absence de pulsations de l’agent et risque donc de générer de nombreuses alertes et notifications. Pour empêcher la diffusion d’alertes et de notifications, placez l’objet analysé en mode Maintenance. En mode </w:t>
      </w:r>
      <w:r>
        <w:lastRenderedPageBreak/>
        <w:t>Maintenance, les éléments supprimés au niveau de l’agent sont les suivants : alertes, notifications, règles, analyses, réponses automatiques, changements d’état et nouvelles alertes.</w:t>
      </w:r>
    </w:p>
    <w:p w:rsidR="004B4C84" w:rsidRDefault="004B4C84">
      <w:r>
        <w:t>Si un serveur dépendant est en mode Maintenance, les alertes peuvent toujours être déclenchées par d’autres rôles des services Bureau à distance. Par exemple, si le serveur de licences des services Bureau à distance est placé en mode Maintenance et hors connexion, les alertes peuvent être déclenchées par les autres serveurs de rôle des services Bureau à distance qui ne peuvent pas obtenir de licence du serveur de licences hors connexion.</w:t>
      </w:r>
    </w:p>
    <w:p w:rsidR="004B4C84" w:rsidRDefault="004B4C84">
      <w:r>
        <w:t xml:space="preserve">Pour plus d’informations sur le placement d’un objet analysé en mode Maintenance, consultez l’article </w:t>
      </w:r>
      <w:hyperlink r:id="rId29" w:history="1">
        <w:r>
          <w:rPr>
            <w:rStyle w:val="Hyperlink"/>
          </w:rPr>
          <w:t>Procédure de basculement en mode Maintenance de l’objet analysé dans Operations Manager 2007</w:t>
        </w:r>
      </w:hyperlink>
      <w:r>
        <w:t xml:space="preserve"> sur le site Web de Microsoft TechNet (http://go.microsoft.com/fwlink/?LinkId=108358).</w:t>
      </w:r>
    </w:p>
    <w:p w:rsidR="004B4C84" w:rsidRDefault="004B4C84">
      <w:pPr>
        <w:pStyle w:val="DSTOC1-2"/>
      </w:pPr>
      <w:bookmarkStart w:id="11" w:name="_Toc266581637"/>
      <w:r>
        <w:t>Résolution des problèmes</w:t>
      </w:r>
      <w:bookmarkStart w:id="12" w:name="z79337393655e4993988cf2ba8bec98b7"/>
      <w:bookmarkEnd w:id="12"/>
      <w:bookmarkEnd w:id="11"/>
    </w:p>
    <w:p w:rsidR="004B4C84" w:rsidRDefault="004B4C84">
      <w:r>
        <w:t>Le tableau suivant décrit des problèmes qui peuvent se produire avec le pack d’administration des services Bureau à distance et indique des solutions possibles.</w:t>
      </w:r>
    </w:p>
    <w:p w:rsidR="004B4C84" w:rsidRDefault="004B4C84">
      <w:pPr>
        <w:pStyle w:val="TableSpacing"/>
      </w:pPr>
    </w:p>
    <w:tbl>
      <w:tblPr>
        <w:tblStyle w:val="TablewithHeader"/>
        <w:tblW w:w="0" w:type="auto"/>
        <w:tblLook w:val="01E0"/>
      </w:tblPr>
      <w:tblGrid>
        <w:gridCol w:w="4388"/>
        <w:gridCol w:w="4424"/>
      </w:tblGrid>
      <w:tr w:rsidR="004B4C84" w:rsidTr="0048065D">
        <w:trPr>
          <w:cnfStyle w:val="100000000000"/>
        </w:trPr>
        <w:tc>
          <w:tcPr>
            <w:tcW w:w="4428" w:type="dxa"/>
          </w:tcPr>
          <w:p w:rsidR="004B4C84" w:rsidRDefault="004B4C84">
            <w:r>
              <w:t>Problème</w:t>
            </w:r>
          </w:p>
        </w:tc>
        <w:tc>
          <w:tcPr>
            <w:tcW w:w="4428" w:type="dxa"/>
          </w:tcPr>
          <w:p w:rsidR="004B4C84" w:rsidRDefault="004B4C84">
            <w:r>
              <w:t>Solution</w:t>
            </w:r>
          </w:p>
        </w:tc>
      </w:tr>
      <w:tr w:rsidR="004B4C84" w:rsidTr="0048065D">
        <w:tc>
          <w:tcPr>
            <w:tcW w:w="4428" w:type="dxa"/>
          </w:tcPr>
          <w:p w:rsidR="004B4C84" w:rsidRDefault="004B4C84">
            <w:r>
              <w:t>Le pack d’administration ne détecte aucun objet.</w:t>
            </w:r>
          </w:p>
        </w:tc>
        <w:tc>
          <w:tcPr>
            <w:tcW w:w="4428" w:type="dxa"/>
          </w:tcPr>
          <w:p w:rsidR="004B4C84" w:rsidRDefault="004B4C84">
            <w:r>
              <w:t>Assurez-vous que vos serveurs Hôte de session Bureau à distance utilisent le mode d’application, et non le mode d’administration à distance.</w:t>
            </w:r>
          </w:p>
          <w:p w:rsidR="004B4C84" w:rsidRDefault="004B4C84">
            <w:r>
              <w:t>La détection des serveurs Hôte de session Bureau à distance exécutés en mode d’administration à distance est désactivée par défaut.</w:t>
            </w:r>
          </w:p>
        </w:tc>
      </w:tr>
      <w:tr w:rsidR="004B4C84" w:rsidTr="0048065D">
        <w:tc>
          <w:tcPr>
            <w:tcW w:w="4428" w:type="dxa"/>
          </w:tcPr>
          <w:p w:rsidR="004B4C84" w:rsidRDefault="004B4C84">
            <w:r>
              <w:t>La plupart des affichages des performances sont vides.</w:t>
            </w:r>
          </w:p>
        </w:tc>
        <w:tc>
          <w:tcPr>
            <w:tcW w:w="4428" w:type="dxa"/>
          </w:tcPr>
          <w:p w:rsidR="004B4C84" w:rsidRDefault="004B4C84">
            <w:r>
              <w:t>Installez le pack d’administration du système d’exploitation Windows Server.</w:t>
            </w:r>
          </w:p>
          <w:p w:rsidR="004B4C84" w:rsidRDefault="004B4C84">
            <w:r>
              <w:t>Le pack d’administration du système d’exploitation Windows Server est requis pour tous les affichages des performances, à l’exception des statistiques de session.</w:t>
            </w:r>
          </w:p>
          <w:p w:rsidR="004B4C84" w:rsidRDefault="004B4C84">
            <w:r>
              <w:t xml:space="preserve">Vous pouvez télécharger le </w:t>
            </w:r>
            <w:hyperlink r:id="rId30" w:history="1">
              <w:r>
                <w:rPr>
                  <w:rStyle w:val="Hyperlink"/>
                </w:rPr>
                <w:t>pack d’administration du système d’exploitation Windows Server</w:t>
              </w:r>
            </w:hyperlink>
            <w:r>
              <w:t xml:space="preserve"> à partir du catalogue des packs d’administration, disponible à l’adresse http://go.microsoft.com/fwlink/?LinkId=82105.</w:t>
            </w:r>
          </w:p>
        </w:tc>
      </w:tr>
      <w:tr w:rsidR="004B4C84" w:rsidTr="0048065D">
        <w:tc>
          <w:tcPr>
            <w:tcW w:w="4428" w:type="dxa"/>
          </w:tcPr>
          <w:p w:rsidR="004B4C84" w:rsidRDefault="004B4C84">
            <w:r>
              <w:t>Le pack d’administration n’a détecté aucun serveur du service Broker pour les connexions Bureau à distance dans un cluster.</w:t>
            </w:r>
          </w:p>
        </w:tc>
        <w:tc>
          <w:tcPr>
            <w:tcW w:w="4428" w:type="dxa"/>
          </w:tcPr>
          <w:p w:rsidR="004B4C84" w:rsidRDefault="004B4C84">
            <w:r>
              <w:t xml:space="preserve">Activez la détection d’objets qui permet de rechercher un serveur du service Broker pour les connexions Bureau à distance dans un </w:t>
            </w:r>
            <w:r>
              <w:lastRenderedPageBreak/>
              <w:t>cluster.</w:t>
            </w:r>
          </w:p>
        </w:tc>
      </w:tr>
      <w:tr w:rsidR="004B4C84" w:rsidTr="0048065D">
        <w:tc>
          <w:tcPr>
            <w:tcW w:w="4428" w:type="dxa"/>
          </w:tcPr>
          <w:p w:rsidR="004B4C84" w:rsidRDefault="004B4C84">
            <w:r>
              <w:lastRenderedPageBreak/>
              <w:t>Le pack d’administration ne rassemble pas beaucoup de données de performances.</w:t>
            </w:r>
          </w:p>
        </w:tc>
        <w:tc>
          <w:tcPr>
            <w:tcW w:w="4428" w:type="dxa"/>
          </w:tcPr>
          <w:p w:rsidR="004B4C84" w:rsidRDefault="004B4C84">
            <w:r>
              <w:t>Activez les règles de mesure de performance souhaitées.</w:t>
            </w:r>
          </w:p>
        </w:tc>
      </w:tr>
      <w:tr w:rsidR="004B4C84" w:rsidTr="0048065D">
        <w:tc>
          <w:tcPr>
            <w:tcW w:w="4428" w:type="dxa"/>
          </w:tcPr>
          <w:p w:rsidR="004B4C84" w:rsidRDefault="004B4C84">
            <w:r>
              <w:t>Le pack d’administration ne génère aucune alerte lorsqu’un serveur hôte de session Bureau à distance ne peut pas imprimer sur une imprimante locale.</w:t>
            </w:r>
          </w:p>
        </w:tc>
        <w:tc>
          <w:tcPr>
            <w:tcW w:w="4428" w:type="dxa"/>
          </w:tcPr>
          <w:p w:rsidR="004B4C84" w:rsidRDefault="004B4C84">
            <w:r>
              <w:t>Activez la règle qui vous alerte en cas d’échec d’une opération de redirection d’imprimante.</w:t>
            </w:r>
          </w:p>
        </w:tc>
      </w:tr>
    </w:tbl>
    <w:p w:rsidR="004B4C84" w:rsidRDefault="004B4C84">
      <w:pPr>
        <w:pStyle w:val="TableSpacing"/>
      </w:pPr>
    </w:p>
    <w:p w:rsidR="004B4C84" w:rsidRDefault="004B4C84">
      <w:pPr>
        <w:pStyle w:val="DSTOC1-2"/>
      </w:pPr>
      <w:bookmarkStart w:id="13" w:name="_Toc266581638"/>
      <w:r>
        <w:t>Annexe : Analyseurs et remplacements pour les packs d’administration</w:t>
      </w:r>
      <w:bookmarkStart w:id="14" w:name="z03cdb8e41341470aad3abd42b22f345c"/>
      <w:bookmarkEnd w:id="14"/>
      <w:bookmarkEnd w:id="13"/>
    </w:p>
    <w:p w:rsidR="004B4C84" w:rsidRDefault="004B4C84">
      <w:r>
        <w:t>Cette section fournit des procédures détaillées et des scripts permettant d’afficher des règles et d’autres informations sur les packs d’administration que vous importez.</w:t>
      </w:r>
    </w:p>
    <w:p w:rsidR="004B4C84" w:rsidRDefault="004B4C84">
      <w:pPr>
        <w:pStyle w:val="DSTOC3-0"/>
      </w:pPr>
      <w:r>
        <w:t>Comment consulter des détails du pack d’administration</w:t>
      </w:r>
    </w:p>
    <w:p w:rsidR="004B4C84" w:rsidRDefault="004B4C84">
      <w:r>
        <w:t>Pour plus d’informations sur un analyseur et les valeurs de remplacement associées, consultez l’onglet Base de connaissances du produit relatif à l’analyseur en question.</w:t>
      </w:r>
    </w:p>
    <w:p w:rsidR="004B4C84" w:rsidRDefault="004B4C84">
      <w:pPr>
        <w:pStyle w:val="ProcedureTitle"/>
        <w:framePr w:wrap="notBeside"/>
      </w:pPr>
      <w:r>
        <w:rPr>
          <w:noProof/>
        </w:rPr>
        <w:drawing>
          <wp:inline distT="0" distB="0" distL="0" distR="0">
            <wp:extent cx="152400" cy="152400"/>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Pour afficher l’onglet Base de connaissances du produit pour un analyseur</w:t>
      </w:r>
    </w:p>
    <w:tbl>
      <w:tblPr>
        <w:tblStyle w:val="ProcedureTable"/>
        <w:tblW w:w="0" w:type="auto"/>
        <w:tblLook w:val="01E0"/>
      </w:tblPr>
      <w:tblGrid>
        <w:gridCol w:w="8280"/>
      </w:tblGrid>
      <w:tr w:rsidR="004B4C84">
        <w:tc>
          <w:tcPr>
            <w:tcW w:w="8856" w:type="dxa"/>
          </w:tcPr>
          <w:p w:rsidR="004B4C84" w:rsidRDefault="004B4C84" w:rsidP="004B4C84">
            <w:pPr>
              <w:pStyle w:val="NumberedList1"/>
              <w:numPr>
                <w:ilvl w:val="0"/>
                <w:numId w:val="0"/>
              </w:numPr>
              <w:tabs>
                <w:tab w:val="left" w:pos="360"/>
              </w:tabs>
              <w:ind w:left="360" w:hanging="360"/>
            </w:pPr>
            <w:r>
              <w:t>1.</w:t>
            </w:r>
            <w:r>
              <w:tab/>
              <w:t xml:space="preserve">Dans la console Opérateur, cliquez sur </w:t>
            </w:r>
            <w:r>
              <w:rPr>
                <w:rStyle w:val="UI"/>
              </w:rPr>
              <w:t>Création</w:t>
            </w:r>
            <w:r>
              <w:t>.</w:t>
            </w:r>
          </w:p>
          <w:p w:rsidR="004B4C84" w:rsidRDefault="004B4C84" w:rsidP="004B4C84">
            <w:pPr>
              <w:pStyle w:val="NumberedList1"/>
              <w:numPr>
                <w:ilvl w:val="0"/>
                <w:numId w:val="0"/>
              </w:numPr>
              <w:tabs>
                <w:tab w:val="left" w:pos="360"/>
              </w:tabs>
              <w:ind w:left="360" w:hanging="360"/>
            </w:pPr>
            <w:r>
              <w:t>2.</w:t>
            </w:r>
            <w:r>
              <w:tab/>
              <w:t xml:space="preserve">Développez </w:t>
            </w:r>
            <w:r>
              <w:rPr>
                <w:rStyle w:val="UI"/>
              </w:rPr>
              <w:t>Objets du pack d’administration</w:t>
            </w:r>
            <w:r>
              <w:t xml:space="preserve">, puis cliquez sur </w:t>
            </w:r>
            <w:r>
              <w:rPr>
                <w:rStyle w:val="UI"/>
              </w:rPr>
              <w:t>Analyseurs</w:t>
            </w:r>
            <w:r>
              <w:t>.</w:t>
            </w:r>
          </w:p>
          <w:p w:rsidR="004B4C84" w:rsidRDefault="004B4C84" w:rsidP="004B4C84">
            <w:pPr>
              <w:pStyle w:val="NumberedList1"/>
              <w:numPr>
                <w:ilvl w:val="0"/>
                <w:numId w:val="0"/>
              </w:numPr>
              <w:tabs>
                <w:tab w:val="left" w:pos="360"/>
              </w:tabs>
              <w:ind w:left="360" w:hanging="360"/>
            </w:pPr>
            <w:r>
              <w:t>3.</w:t>
            </w:r>
            <w:r>
              <w:tab/>
              <w:t xml:space="preserve">Dans le volet </w:t>
            </w:r>
            <w:r>
              <w:rPr>
                <w:rStyle w:val="UI"/>
              </w:rPr>
              <w:t>Analyseurs</w:t>
            </w:r>
            <w:r>
              <w:t>, développez les cibles jusqu’à atteindre le niveau de l’analyseur.</w:t>
            </w:r>
          </w:p>
          <w:p w:rsidR="004B4C84" w:rsidRDefault="004B4C84" w:rsidP="004B4C84">
            <w:pPr>
              <w:pStyle w:val="NumberedList1"/>
              <w:numPr>
                <w:ilvl w:val="0"/>
                <w:numId w:val="0"/>
              </w:numPr>
              <w:tabs>
                <w:tab w:val="left" w:pos="360"/>
              </w:tabs>
              <w:ind w:left="360" w:hanging="360"/>
            </w:pPr>
            <w:r>
              <w:t>4.</w:t>
            </w:r>
            <w:r>
              <w:tab/>
              <w:t xml:space="preserve">Cliquez avec le bouton droit sur l’analyseur, puis cliquez sur </w:t>
            </w:r>
            <w:r>
              <w:rPr>
                <w:rStyle w:val="UI"/>
              </w:rPr>
              <w:t>Propriétés</w:t>
            </w:r>
            <w:r>
              <w:t xml:space="preserve">. </w:t>
            </w:r>
          </w:p>
          <w:p w:rsidR="004B4C84" w:rsidRDefault="004B4C84" w:rsidP="004B4C84">
            <w:pPr>
              <w:pStyle w:val="NumberedList1"/>
              <w:numPr>
                <w:ilvl w:val="0"/>
                <w:numId w:val="0"/>
              </w:numPr>
              <w:tabs>
                <w:tab w:val="left" w:pos="360"/>
              </w:tabs>
              <w:ind w:left="360" w:hanging="360"/>
            </w:pPr>
            <w:r>
              <w:t>5.</w:t>
            </w:r>
            <w:r>
              <w:tab/>
              <w:t xml:space="preserve">Cliquez sur l’onglet </w:t>
            </w:r>
            <w:r>
              <w:rPr>
                <w:rStyle w:val="UI"/>
              </w:rPr>
              <w:t>Base de connaissances du produit</w:t>
            </w:r>
            <w:r>
              <w:t>.</w:t>
            </w:r>
          </w:p>
        </w:tc>
      </w:tr>
    </w:tbl>
    <w:p w:rsidR="004B4C84" w:rsidRDefault="004B4C84">
      <w:pPr>
        <w:pStyle w:val="DSTOC3-0"/>
      </w:pPr>
      <w:r>
        <w:t>Comment afficher les analyseurs d’un pack d’administration</w:t>
      </w:r>
    </w:p>
    <w:p w:rsidR="004B4C84" w:rsidRDefault="004B4C84">
      <w:r>
        <w:t>Pour afficher la liste des sorties des analyseurs et des remplacements d’un pack d’administration à l’aide de l’interface de commande, procédez comme suit.</w:t>
      </w:r>
    </w:p>
    <w:p w:rsidR="004B4C84" w:rsidRDefault="004B4C84">
      <w:pPr>
        <w:pStyle w:val="ProcedureTitle"/>
        <w:framePr w:wrap="notBeside"/>
      </w:pPr>
      <w:r>
        <w:rPr>
          <w:noProof/>
        </w:rPr>
        <w:drawing>
          <wp:inline distT="0" distB="0" distL="0" distR="0">
            <wp:extent cx="152400" cy="152400"/>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Pour afficher les analyses d'un pack d'administration</w:t>
      </w:r>
    </w:p>
    <w:tbl>
      <w:tblPr>
        <w:tblStyle w:val="ProcedureTable"/>
        <w:tblW w:w="0" w:type="auto"/>
        <w:tblLook w:val="01E0"/>
      </w:tblPr>
      <w:tblGrid>
        <w:gridCol w:w="8280"/>
      </w:tblGrid>
      <w:tr w:rsidR="004B4C84">
        <w:tc>
          <w:tcPr>
            <w:tcW w:w="8856" w:type="dxa"/>
          </w:tcPr>
          <w:p w:rsidR="004B4C84" w:rsidRDefault="004B4C84" w:rsidP="004B4C84">
            <w:pPr>
              <w:pStyle w:val="NumberedList1"/>
              <w:numPr>
                <w:ilvl w:val="0"/>
                <w:numId w:val="0"/>
              </w:numPr>
              <w:tabs>
                <w:tab w:val="left" w:pos="360"/>
              </w:tabs>
              <w:ind w:left="360" w:hanging="360"/>
            </w:pPr>
            <w:r>
              <w:t>1.</w:t>
            </w:r>
            <w:r>
              <w:tab/>
              <w:t xml:space="preserve">Cliquez sur </w:t>
            </w:r>
            <w:r>
              <w:rPr>
                <w:rStyle w:val="UI"/>
              </w:rPr>
              <w:t>Démarrer</w:t>
            </w:r>
            <w:r>
              <w:t xml:space="preserve">, pointez successivement sur </w:t>
            </w:r>
            <w:r>
              <w:rPr>
                <w:rStyle w:val="UI"/>
              </w:rPr>
              <w:t>Tous les programmes</w:t>
            </w:r>
            <w:r>
              <w:t xml:space="preserve"> et </w:t>
            </w:r>
            <w:r>
              <w:rPr>
                <w:rStyle w:val="UI"/>
              </w:rPr>
              <w:t>System Center Operations Manager 2007 R2</w:t>
            </w:r>
            <w:r>
              <w:t xml:space="preserve">, puis cliquez sur </w:t>
            </w:r>
            <w:r>
              <w:rPr>
                <w:rStyle w:val="UI"/>
              </w:rPr>
              <w:t>Interface de commande</w:t>
            </w:r>
            <w:r>
              <w:t>.</w:t>
            </w:r>
          </w:p>
          <w:p w:rsidR="004B4C84" w:rsidRDefault="004B4C84" w:rsidP="004B4C84">
            <w:pPr>
              <w:pStyle w:val="NumberedList1"/>
              <w:numPr>
                <w:ilvl w:val="0"/>
                <w:numId w:val="0"/>
              </w:numPr>
              <w:tabs>
                <w:tab w:val="left" w:pos="360"/>
              </w:tabs>
              <w:ind w:left="360" w:hanging="360"/>
            </w:pPr>
            <w:r>
              <w:t>2.</w:t>
            </w:r>
            <w:r>
              <w:tab/>
              <w:t xml:space="preserve">Tapez la commande suivante : </w:t>
            </w:r>
            <w:r>
              <w:rPr>
                <w:rStyle w:val="System"/>
              </w:rPr>
              <w:t>get-monitor -managementPack name.mp | export-csv</w:t>
            </w:r>
            <w:r>
              <w:t> </w:t>
            </w:r>
            <w:r>
              <w:rPr>
                <w:rStyle w:val="Placeholder"/>
              </w:rPr>
              <w:t>nom_fichier</w:t>
            </w:r>
            <w:r>
              <w:t xml:space="preserve"> où </w:t>
            </w:r>
            <w:r>
              <w:rPr>
                <w:rStyle w:val="Placeholder"/>
              </w:rPr>
              <w:t>nom_fichier</w:t>
            </w:r>
            <w:r>
              <w:t xml:space="preserve"> désigne le nom du fichier de sortie, puis appuyez sur Entrée.</w:t>
            </w:r>
          </w:p>
          <w:p w:rsidR="004B4C84" w:rsidRDefault="004B4C84" w:rsidP="004B4C84">
            <w:pPr>
              <w:pStyle w:val="NumberedList1"/>
              <w:numPr>
                <w:ilvl w:val="0"/>
                <w:numId w:val="0"/>
              </w:numPr>
              <w:tabs>
                <w:tab w:val="left" w:pos="360"/>
              </w:tabs>
              <w:ind w:left="360" w:hanging="360"/>
            </w:pPr>
            <w:r>
              <w:lastRenderedPageBreak/>
              <w:t>3.</w:t>
            </w:r>
            <w:r>
              <w:tab/>
              <w:t>Un fichier .csv est créé. Le fichier .csv peut être ouvert dans Microsoft Office Excel.</w:t>
            </w:r>
          </w:p>
        </w:tc>
      </w:tr>
    </w:tbl>
    <w:p w:rsidR="004B4C84" w:rsidRDefault="004B4C84">
      <w:pPr>
        <w:pStyle w:val="DSTOC3-0"/>
      </w:pPr>
      <w:r>
        <w:lastRenderedPageBreak/>
        <w:t>Comment afficher les remplacements d’un pack d’administration</w:t>
      </w:r>
    </w:p>
    <w:p w:rsidR="004B4C84" w:rsidRDefault="004B4C84">
      <w:r>
        <w:t>Pour afficher les remplacements d’un pack d’administration, utilisez la procédure suivante.</w:t>
      </w:r>
    </w:p>
    <w:p w:rsidR="004B4C84" w:rsidRDefault="004B4C84">
      <w:pPr>
        <w:pStyle w:val="ProcedureTitle"/>
        <w:framePr w:wrap="notBeside"/>
      </w:pPr>
      <w:r>
        <w:rPr>
          <w:noProof/>
        </w:rPr>
        <w:drawing>
          <wp:inline distT="0" distB="0" distL="0" distR="0">
            <wp:extent cx="152400" cy="152400"/>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Pour afficher les remplacements d'un pack d'administration</w:t>
      </w:r>
    </w:p>
    <w:tbl>
      <w:tblPr>
        <w:tblStyle w:val="ProcedureTable"/>
        <w:tblW w:w="0" w:type="auto"/>
        <w:tblLook w:val="01E0"/>
      </w:tblPr>
      <w:tblGrid>
        <w:gridCol w:w="8280"/>
      </w:tblGrid>
      <w:tr w:rsidR="004B4C84">
        <w:tc>
          <w:tcPr>
            <w:tcW w:w="8856" w:type="dxa"/>
          </w:tcPr>
          <w:p w:rsidR="004B4C84" w:rsidRDefault="004B4C84" w:rsidP="004B4C84">
            <w:pPr>
              <w:pStyle w:val="NumberedList1"/>
              <w:numPr>
                <w:ilvl w:val="0"/>
                <w:numId w:val="0"/>
              </w:numPr>
              <w:tabs>
                <w:tab w:val="left" w:pos="360"/>
              </w:tabs>
              <w:ind w:left="360" w:hanging="360"/>
            </w:pPr>
            <w:r>
              <w:t>1.</w:t>
            </w:r>
            <w:r>
              <w:tab/>
              <w:t xml:space="preserve">Cliquez sur </w:t>
            </w:r>
            <w:r>
              <w:rPr>
                <w:rStyle w:val="UI"/>
              </w:rPr>
              <w:t>Démarrer</w:t>
            </w:r>
            <w:r>
              <w:t xml:space="preserve">, pointez successivement sur </w:t>
            </w:r>
            <w:r>
              <w:rPr>
                <w:rStyle w:val="UI"/>
              </w:rPr>
              <w:t>Tous les programmes</w:t>
            </w:r>
            <w:r>
              <w:t xml:space="preserve"> et </w:t>
            </w:r>
            <w:r>
              <w:rPr>
                <w:rStyle w:val="UI"/>
              </w:rPr>
              <w:t>System Center Operations Manager 2007 R2</w:t>
            </w:r>
            <w:r>
              <w:t xml:space="preserve">, puis cliquez sur </w:t>
            </w:r>
            <w:r>
              <w:rPr>
                <w:rStyle w:val="UI"/>
              </w:rPr>
              <w:t>Interface de commande</w:t>
            </w:r>
            <w:r>
              <w:t>.</w:t>
            </w:r>
          </w:p>
          <w:p w:rsidR="004B4C84" w:rsidRDefault="004B4C84" w:rsidP="004B4C84">
            <w:pPr>
              <w:pStyle w:val="NumberedList1"/>
              <w:numPr>
                <w:ilvl w:val="0"/>
                <w:numId w:val="0"/>
              </w:numPr>
              <w:tabs>
                <w:tab w:val="left" w:pos="360"/>
              </w:tabs>
              <w:ind w:left="360" w:hanging="360"/>
            </w:pPr>
            <w:r>
              <w:t>2.</w:t>
            </w:r>
            <w:r>
              <w:tab/>
              <w:t xml:space="preserve">Tapez la commande suivante : </w:t>
            </w:r>
            <w:r>
              <w:rPr>
                <w:rStyle w:val="System"/>
              </w:rPr>
              <w:t>get-override -managementPack name.mp | export-csv</w:t>
            </w:r>
            <w:r>
              <w:t> </w:t>
            </w:r>
            <w:r>
              <w:rPr>
                <w:rStyle w:val="Placeholder"/>
              </w:rPr>
              <w:t>nom_fichier</w:t>
            </w:r>
            <w:r>
              <w:t xml:space="preserve"> où </w:t>
            </w:r>
            <w:r>
              <w:rPr>
                <w:rStyle w:val="Placeholder"/>
              </w:rPr>
              <w:t>nom_fichier</w:t>
            </w:r>
            <w:r>
              <w:t xml:space="preserve"> désigne le nom du fichier de sortie, puis appuyez sur Entrée.</w:t>
            </w:r>
          </w:p>
          <w:p w:rsidR="004B4C84" w:rsidRDefault="004B4C84" w:rsidP="004B4C84">
            <w:pPr>
              <w:pStyle w:val="NumberedList1"/>
              <w:numPr>
                <w:ilvl w:val="0"/>
                <w:numId w:val="0"/>
              </w:numPr>
              <w:tabs>
                <w:tab w:val="left" w:pos="360"/>
              </w:tabs>
              <w:ind w:left="360" w:hanging="360"/>
            </w:pPr>
            <w:r>
              <w:t>3.</w:t>
            </w:r>
            <w:r>
              <w:tab/>
              <w:t>Un fichier .csv est créé. Le fichier .csv peut être ouvert dans Microsoft Office Excel.</w:t>
            </w:r>
          </w:p>
        </w:tc>
      </w:tr>
    </w:tbl>
    <w:p w:rsidR="004B4C84" w:rsidRDefault="004B4C84">
      <w:pPr>
        <w:pStyle w:val="DSTOC3-0"/>
      </w:pPr>
      <w:r>
        <w:t>Comment afficher toutes les règles des packs d’administration</w:t>
      </w:r>
    </w:p>
    <w:p w:rsidR="004B4C84" w:rsidRDefault="004B4C84">
      <w:r>
        <w:t>Procédez comme suit pour afficher une liste de règles pour les packs d’administration que vous avez importés.</w:t>
      </w:r>
    </w:p>
    <w:p w:rsidR="004B4C84" w:rsidRDefault="004B4C84">
      <w:pPr>
        <w:pStyle w:val="ProcedureTitle"/>
        <w:framePr w:wrap="notBeside"/>
      </w:pPr>
      <w:r>
        <w:rPr>
          <w:noProof/>
        </w:rPr>
        <w:drawing>
          <wp:inline distT="0" distB="0" distL="0" distR="0">
            <wp:extent cx="152400" cy="15240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Pour afficher les règles des packs d'administration</w:t>
      </w:r>
    </w:p>
    <w:tbl>
      <w:tblPr>
        <w:tblStyle w:val="ProcedureTable"/>
        <w:tblW w:w="0" w:type="auto"/>
        <w:tblLook w:val="01E0"/>
      </w:tblPr>
      <w:tblGrid>
        <w:gridCol w:w="8280"/>
      </w:tblGrid>
      <w:tr w:rsidR="004B4C84">
        <w:tc>
          <w:tcPr>
            <w:tcW w:w="8856" w:type="dxa"/>
          </w:tcPr>
          <w:p w:rsidR="004B4C84" w:rsidRDefault="004B4C84" w:rsidP="004B4C84">
            <w:pPr>
              <w:pStyle w:val="NumberedList1"/>
              <w:numPr>
                <w:ilvl w:val="0"/>
                <w:numId w:val="0"/>
              </w:numPr>
              <w:tabs>
                <w:tab w:val="left" w:pos="360"/>
              </w:tabs>
              <w:ind w:left="360" w:hanging="360"/>
            </w:pPr>
            <w:r>
              <w:t>1.</w:t>
            </w:r>
            <w:r>
              <w:tab/>
              <w:t xml:space="preserve">Cliquez sur </w:t>
            </w:r>
            <w:r>
              <w:rPr>
                <w:rStyle w:val="UI"/>
              </w:rPr>
              <w:t>Démarrer</w:t>
            </w:r>
            <w:r>
              <w:t xml:space="preserve">, pointez successivement sur </w:t>
            </w:r>
            <w:r>
              <w:rPr>
                <w:rStyle w:val="UI"/>
              </w:rPr>
              <w:t>Tous les programmes</w:t>
            </w:r>
            <w:r>
              <w:t xml:space="preserve"> et </w:t>
            </w:r>
            <w:r>
              <w:rPr>
                <w:rStyle w:val="UI"/>
              </w:rPr>
              <w:t>System Center Operations Manager 2007 R2</w:t>
            </w:r>
            <w:r>
              <w:t xml:space="preserve">, puis cliquez sur </w:t>
            </w:r>
            <w:r>
              <w:rPr>
                <w:rStyle w:val="UI"/>
              </w:rPr>
              <w:t>Interface de commande</w:t>
            </w:r>
            <w:r>
              <w:t>.</w:t>
            </w:r>
          </w:p>
          <w:p w:rsidR="004B4C84" w:rsidRDefault="004B4C84" w:rsidP="004B4C84">
            <w:pPr>
              <w:pStyle w:val="NumberedList1"/>
              <w:numPr>
                <w:ilvl w:val="0"/>
                <w:numId w:val="0"/>
              </w:numPr>
              <w:tabs>
                <w:tab w:val="left" w:pos="360"/>
              </w:tabs>
              <w:ind w:left="360" w:hanging="360"/>
            </w:pPr>
            <w:r>
              <w:t>2.</w:t>
            </w:r>
            <w:r>
              <w:tab/>
              <w:t xml:space="preserve">Tapez la commande suivante : </w:t>
            </w:r>
            <w:r>
              <w:rPr>
                <w:rStyle w:val="System"/>
              </w:rPr>
              <w:t>get-rule | select-object @{Name="MP";Expression={ foreach-object {$_.GetManagementPack().DisplayName }}},DisplayName | sort-object -property MP | export-csv</w:t>
            </w:r>
            <w:r>
              <w:t> </w:t>
            </w:r>
            <w:r>
              <w:rPr>
                <w:rStyle w:val="Placeholder"/>
              </w:rPr>
              <w:t>nom_fichier</w:t>
            </w:r>
            <w:r>
              <w:t xml:space="preserve"> où </w:t>
            </w:r>
            <w:r>
              <w:rPr>
                <w:rStyle w:val="Placeholder"/>
              </w:rPr>
              <w:t>nom_fichier</w:t>
            </w:r>
            <w:r>
              <w:t xml:space="preserve"> désigne le nom du fichier de sortie, puis appuyez sur Entrée.</w:t>
            </w:r>
          </w:p>
          <w:p w:rsidR="004B4C84" w:rsidRDefault="004B4C84" w:rsidP="004B4C84">
            <w:pPr>
              <w:pStyle w:val="NumberedList1"/>
              <w:numPr>
                <w:ilvl w:val="0"/>
                <w:numId w:val="0"/>
              </w:numPr>
              <w:tabs>
                <w:tab w:val="left" w:pos="360"/>
              </w:tabs>
              <w:ind w:left="360" w:hanging="360"/>
            </w:pPr>
            <w:r>
              <w:t>3.</w:t>
            </w:r>
            <w:r>
              <w:tab/>
              <w:t>Un fichier .csv est créé. Le fichier .csv peut être ouvert dans Microsoft Office Excel.</w:t>
            </w:r>
          </w:p>
        </w:tc>
      </w:tr>
    </w:tbl>
    <w:p w:rsidR="004B4C84" w:rsidRDefault="004B4C84">
      <w:pPr>
        <w:pStyle w:val="DSTOC3-0"/>
      </w:pPr>
      <w:r>
        <w:t>Comment afficher des seuils d’analyse</w:t>
      </w:r>
    </w:p>
    <w:p w:rsidR="004B4C84" w:rsidRDefault="004B4C84">
      <w:r>
        <w:t>Pour afficher des seuils d’analyse, utilisez le script décrit dans cette section. Ce script fonctionne pour la plupart des analyseurs. Il crée un fichier .csv qu’il est possible d’ouvrir dans Microsoft Office Excel et contient les colonnes suivantes.</w:t>
      </w:r>
    </w:p>
    <w:p w:rsidR="004B4C84" w:rsidRDefault="004B4C84">
      <w:pPr>
        <w:pStyle w:val="TableSpacing"/>
      </w:pPr>
    </w:p>
    <w:tbl>
      <w:tblPr>
        <w:tblStyle w:val="TablewithHeader"/>
        <w:tblW w:w="0" w:type="auto"/>
        <w:tblLook w:val="01E0"/>
      </w:tblPr>
      <w:tblGrid>
        <w:gridCol w:w="4406"/>
        <w:gridCol w:w="4406"/>
      </w:tblGrid>
      <w:tr w:rsidR="004B4C84" w:rsidTr="00A01823">
        <w:trPr>
          <w:cnfStyle w:val="100000000000"/>
        </w:trPr>
        <w:tc>
          <w:tcPr>
            <w:tcW w:w="4428" w:type="dxa"/>
          </w:tcPr>
          <w:p w:rsidR="004B4C84" w:rsidRDefault="004B4C84">
            <w:r>
              <w:t>Colonne</w:t>
            </w:r>
          </w:p>
        </w:tc>
        <w:tc>
          <w:tcPr>
            <w:tcW w:w="4428" w:type="dxa"/>
          </w:tcPr>
          <w:p w:rsidR="004B4C84" w:rsidRDefault="004B4C84">
            <w:r>
              <w:t>Description</w:t>
            </w:r>
          </w:p>
        </w:tc>
      </w:tr>
      <w:tr w:rsidR="004B4C84" w:rsidTr="00A01823">
        <w:tc>
          <w:tcPr>
            <w:tcW w:w="4428" w:type="dxa"/>
          </w:tcPr>
          <w:p w:rsidR="004B4C84" w:rsidRDefault="004B4C84">
            <w:r>
              <w:t>Type</w:t>
            </w:r>
          </w:p>
        </w:tc>
        <w:tc>
          <w:tcPr>
            <w:tcW w:w="4428" w:type="dxa"/>
          </w:tcPr>
          <w:p w:rsidR="004B4C84" w:rsidRDefault="004B4C84">
            <w:r>
              <w:t>Type des objets pour lesquels l’analyseur est destiné</w:t>
            </w:r>
          </w:p>
        </w:tc>
      </w:tr>
      <w:tr w:rsidR="004B4C84" w:rsidTr="00A01823">
        <w:tc>
          <w:tcPr>
            <w:tcW w:w="4428" w:type="dxa"/>
          </w:tcPr>
          <w:p w:rsidR="004B4C84" w:rsidRDefault="004B4C84">
            <w:r>
              <w:t>DisplayName</w:t>
            </w:r>
          </w:p>
        </w:tc>
        <w:tc>
          <w:tcPr>
            <w:tcW w:w="4428" w:type="dxa"/>
          </w:tcPr>
          <w:p w:rsidR="004B4C84" w:rsidRDefault="004B4C84">
            <w:r>
              <w:t>Nom complet de l’analyseur</w:t>
            </w:r>
          </w:p>
        </w:tc>
      </w:tr>
      <w:tr w:rsidR="004B4C84" w:rsidTr="00A01823">
        <w:tc>
          <w:tcPr>
            <w:tcW w:w="4428" w:type="dxa"/>
          </w:tcPr>
          <w:p w:rsidR="004B4C84" w:rsidRDefault="004B4C84">
            <w:r>
              <w:t>Threshold</w:t>
            </w:r>
          </w:p>
        </w:tc>
        <w:tc>
          <w:tcPr>
            <w:tcW w:w="4428" w:type="dxa"/>
          </w:tcPr>
          <w:p w:rsidR="004B4C84" w:rsidRDefault="004B4C84">
            <w:r>
              <w:t>Seuil utilisé par l’analyseur</w:t>
            </w:r>
          </w:p>
        </w:tc>
      </w:tr>
      <w:tr w:rsidR="004B4C84" w:rsidTr="00A01823">
        <w:tc>
          <w:tcPr>
            <w:tcW w:w="4428" w:type="dxa"/>
          </w:tcPr>
          <w:p w:rsidR="004B4C84" w:rsidRDefault="004B4C84">
            <w:r>
              <w:lastRenderedPageBreak/>
              <w:t>AlertOnState</w:t>
            </w:r>
          </w:p>
        </w:tc>
        <w:tc>
          <w:tcPr>
            <w:tcW w:w="4428" w:type="dxa"/>
          </w:tcPr>
          <w:p w:rsidR="004B4C84" w:rsidRDefault="004B4C84">
            <w:r>
              <w:t>Détermine si l’analyseur génère une alerte lorsque l’état change</w:t>
            </w:r>
          </w:p>
        </w:tc>
      </w:tr>
      <w:tr w:rsidR="004B4C84" w:rsidTr="00A01823">
        <w:tc>
          <w:tcPr>
            <w:tcW w:w="4428" w:type="dxa"/>
          </w:tcPr>
          <w:p w:rsidR="004B4C84" w:rsidRDefault="004B4C84">
            <w:r>
              <w:t>AutoResolveAlert</w:t>
            </w:r>
          </w:p>
        </w:tc>
        <w:tc>
          <w:tcPr>
            <w:tcW w:w="4428" w:type="dxa"/>
          </w:tcPr>
          <w:p w:rsidR="004B4C84" w:rsidRDefault="004B4C84">
            <w:r>
              <w:t>Détermine si l’alerte générée sera automatiquement résolue lorsque l’état de l’analyseur reviendra au vert</w:t>
            </w:r>
          </w:p>
        </w:tc>
      </w:tr>
      <w:tr w:rsidR="004B4C84" w:rsidTr="00A01823">
        <w:tc>
          <w:tcPr>
            <w:tcW w:w="4428" w:type="dxa"/>
          </w:tcPr>
          <w:p w:rsidR="004B4C84" w:rsidRDefault="004B4C84">
            <w:r>
              <w:t>AlertSeverity</w:t>
            </w:r>
          </w:p>
        </w:tc>
        <w:tc>
          <w:tcPr>
            <w:tcW w:w="4428" w:type="dxa"/>
          </w:tcPr>
          <w:p w:rsidR="004B4C84" w:rsidRDefault="004B4C84">
            <w:r>
              <w:t>Gravité de l’alerte générée</w:t>
            </w:r>
          </w:p>
        </w:tc>
      </w:tr>
    </w:tbl>
    <w:p w:rsidR="004B4C84" w:rsidRDefault="004B4C84">
      <w:pPr>
        <w:pStyle w:val="TableSpacing"/>
      </w:pPr>
    </w:p>
    <w:p w:rsidR="004B4C84" w:rsidRDefault="004B4C84">
      <w:r>
        <w:t> </w:t>
      </w:r>
    </w:p>
    <w:p w:rsidR="004B4C84" w:rsidRDefault="004B4C84">
      <w:r>
        <w:t>Exécutez le script suivant pour créer le fichier .csv qui affiche les seuils des analyseurs :</w:t>
      </w:r>
    </w:p>
    <w:p w:rsidR="004B4C84" w:rsidRDefault="004B4C84">
      <w:pPr>
        <w:pStyle w:val="Code"/>
      </w:pPr>
      <w:r>
        <w:t>function GetThreshold ([String] $configuration)</w:t>
      </w:r>
    </w:p>
    <w:p w:rsidR="004B4C84" w:rsidRDefault="004B4C84">
      <w:pPr>
        <w:pStyle w:val="Code"/>
      </w:pPr>
      <w:r>
        <w:t>{</w:t>
      </w:r>
    </w:p>
    <w:p w:rsidR="004B4C84" w:rsidRDefault="004B4C84">
      <w:pPr>
        <w:pStyle w:val="Code"/>
      </w:pPr>
      <w:r>
        <w:t xml:space="preserve">   $config = [xml] ("&lt;config&gt;" + $configuration + "&lt;/config&gt;")</w:t>
      </w:r>
    </w:p>
    <w:p w:rsidR="004B4C84" w:rsidRDefault="004B4C84">
      <w:pPr>
        <w:pStyle w:val="Code"/>
      </w:pPr>
      <w:r>
        <w:t xml:space="preserve">   $threshold = $config.Config.Threshold</w:t>
      </w:r>
    </w:p>
    <w:p w:rsidR="004B4C84" w:rsidRDefault="004B4C84">
      <w:pPr>
        <w:pStyle w:val="Code"/>
      </w:pPr>
    </w:p>
    <w:p w:rsidR="004B4C84" w:rsidRDefault="004B4C84">
      <w:pPr>
        <w:pStyle w:val="Code"/>
      </w:pPr>
      <w:r>
        <w:t xml:space="preserve">   if($threshold -eq $null)</w:t>
      </w:r>
    </w:p>
    <w:p w:rsidR="004B4C84" w:rsidRDefault="004B4C84">
      <w:pPr>
        <w:pStyle w:val="Code"/>
      </w:pPr>
      <w:r>
        <w:t xml:space="preserve">   {</w:t>
      </w:r>
    </w:p>
    <w:p w:rsidR="004B4C84" w:rsidRDefault="004B4C84">
      <w:pPr>
        <w:pStyle w:val="Code"/>
      </w:pPr>
      <w:r>
        <w:t xml:space="preserve">      $threshold = $config.Config.MemoryThreshold</w:t>
      </w:r>
    </w:p>
    <w:p w:rsidR="004B4C84" w:rsidRDefault="004B4C84">
      <w:pPr>
        <w:pStyle w:val="Code"/>
      </w:pPr>
      <w:r>
        <w:t xml:space="preserve">   }</w:t>
      </w:r>
    </w:p>
    <w:p w:rsidR="004B4C84" w:rsidRDefault="004B4C84">
      <w:pPr>
        <w:pStyle w:val="Code"/>
      </w:pPr>
    </w:p>
    <w:p w:rsidR="004B4C84" w:rsidRDefault="004B4C84">
      <w:pPr>
        <w:pStyle w:val="Code"/>
      </w:pPr>
      <w:r>
        <w:t xml:space="preserve">   if($threshold -eq $null)</w:t>
      </w:r>
    </w:p>
    <w:p w:rsidR="004B4C84" w:rsidRDefault="004B4C84">
      <w:pPr>
        <w:pStyle w:val="Code"/>
      </w:pPr>
      <w:r>
        <w:t xml:space="preserve">   {</w:t>
      </w:r>
    </w:p>
    <w:p w:rsidR="004B4C84" w:rsidRDefault="004B4C84">
      <w:pPr>
        <w:pStyle w:val="Code"/>
      </w:pPr>
      <w:r>
        <w:t xml:space="preserve">      $threshold = $config.Config.CPUPercentageThreshold</w:t>
      </w:r>
    </w:p>
    <w:p w:rsidR="004B4C84" w:rsidRDefault="004B4C84">
      <w:pPr>
        <w:pStyle w:val="Code"/>
      </w:pPr>
      <w:r>
        <w:t xml:space="preserve">   }</w:t>
      </w:r>
    </w:p>
    <w:p w:rsidR="004B4C84" w:rsidRDefault="004B4C84">
      <w:pPr>
        <w:pStyle w:val="Code"/>
      </w:pPr>
    </w:p>
    <w:p w:rsidR="004B4C84" w:rsidRDefault="004B4C84">
      <w:pPr>
        <w:pStyle w:val="Code"/>
      </w:pPr>
      <w:r>
        <w:t xml:space="preserve">   if($threshold -eq $null)</w:t>
      </w:r>
    </w:p>
    <w:p w:rsidR="004B4C84" w:rsidRDefault="004B4C84">
      <w:pPr>
        <w:pStyle w:val="Code"/>
      </w:pPr>
      <w:r>
        <w:t xml:space="preserve">   {</w:t>
      </w:r>
    </w:p>
    <w:p w:rsidR="004B4C84" w:rsidRDefault="004B4C84">
      <w:pPr>
        <w:pStyle w:val="Code"/>
      </w:pPr>
    </w:p>
    <w:p w:rsidR="004B4C84" w:rsidRDefault="004B4C84">
      <w:pPr>
        <w:pStyle w:val="Code"/>
      </w:pPr>
      <w:r>
        <w:t xml:space="preserve">      if($config.Config.Threshold1 -ne $null -and $config.Config.Threshold2 -ne $null)</w:t>
      </w:r>
    </w:p>
    <w:p w:rsidR="004B4C84" w:rsidRDefault="004B4C84">
      <w:pPr>
        <w:pStyle w:val="Code"/>
      </w:pPr>
      <w:r>
        <w:t xml:space="preserve">      {</w:t>
      </w:r>
    </w:p>
    <w:p w:rsidR="004B4C84" w:rsidRDefault="004B4C84">
      <w:pPr>
        <w:pStyle w:val="Code"/>
      </w:pPr>
      <w:r>
        <w:t xml:space="preserve">         $threshold = "first threshold is: " + $config.Config.Threshold1 + " second threshold is: " + $config.Config.Threshold2</w:t>
      </w:r>
    </w:p>
    <w:p w:rsidR="004B4C84" w:rsidRDefault="004B4C84">
      <w:pPr>
        <w:pStyle w:val="Code"/>
      </w:pPr>
      <w:r>
        <w:t xml:space="preserve">      }</w:t>
      </w:r>
    </w:p>
    <w:p w:rsidR="004B4C84" w:rsidRDefault="004B4C84">
      <w:pPr>
        <w:pStyle w:val="Code"/>
      </w:pPr>
      <w:r>
        <w:t xml:space="preserve">   }</w:t>
      </w:r>
    </w:p>
    <w:p w:rsidR="004B4C84" w:rsidRDefault="004B4C84">
      <w:pPr>
        <w:pStyle w:val="Code"/>
      </w:pPr>
    </w:p>
    <w:p w:rsidR="004B4C84" w:rsidRDefault="004B4C84">
      <w:pPr>
        <w:pStyle w:val="Code"/>
      </w:pPr>
      <w:r>
        <w:t xml:space="preserve">   if($threshold -eq $null)</w:t>
      </w:r>
    </w:p>
    <w:p w:rsidR="004B4C84" w:rsidRDefault="004B4C84">
      <w:pPr>
        <w:pStyle w:val="Code"/>
      </w:pPr>
      <w:r>
        <w:t xml:space="preserve">   {</w:t>
      </w:r>
    </w:p>
    <w:p w:rsidR="004B4C84" w:rsidRDefault="004B4C84">
      <w:pPr>
        <w:pStyle w:val="Code"/>
      </w:pPr>
    </w:p>
    <w:p w:rsidR="004B4C84" w:rsidRDefault="004B4C84">
      <w:pPr>
        <w:pStyle w:val="Code"/>
      </w:pPr>
      <w:r>
        <w:t xml:space="preserve">      if($config.Config.ThresholdWarnSec -ne $null -and $config.Config.ThresholdErrorSec -ne $null)</w:t>
      </w:r>
    </w:p>
    <w:p w:rsidR="004B4C84" w:rsidRDefault="004B4C84">
      <w:pPr>
        <w:pStyle w:val="Code"/>
      </w:pPr>
      <w:r>
        <w:t xml:space="preserve">      {</w:t>
      </w:r>
    </w:p>
    <w:p w:rsidR="004B4C84" w:rsidRDefault="004B4C84">
      <w:pPr>
        <w:pStyle w:val="Code"/>
      </w:pPr>
      <w:r>
        <w:t xml:space="preserve">         $threshold = "warning threshold is: " + $config.Config.ThresholdWarnSec + " error threshold is: " + $config.Config.ThresholdErrorSec </w:t>
      </w:r>
    </w:p>
    <w:p w:rsidR="004B4C84" w:rsidRDefault="004B4C84">
      <w:pPr>
        <w:pStyle w:val="Code"/>
      </w:pPr>
      <w:r>
        <w:t xml:space="preserve">      }</w:t>
      </w:r>
    </w:p>
    <w:p w:rsidR="004B4C84" w:rsidRDefault="004B4C84">
      <w:pPr>
        <w:pStyle w:val="Code"/>
      </w:pPr>
      <w:r>
        <w:t xml:space="preserve">   }</w:t>
      </w:r>
    </w:p>
    <w:p w:rsidR="004B4C84" w:rsidRDefault="004B4C84">
      <w:pPr>
        <w:pStyle w:val="Code"/>
      </w:pPr>
    </w:p>
    <w:p w:rsidR="004B4C84" w:rsidRDefault="004B4C84">
      <w:pPr>
        <w:pStyle w:val="Code"/>
      </w:pPr>
      <w:r>
        <w:t xml:space="preserve">   if($threshold -eq $null)</w:t>
      </w:r>
    </w:p>
    <w:p w:rsidR="004B4C84" w:rsidRDefault="004B4C84">
      <w:pPr>
        <w:pStyle w:val="Code"/>
      </w:pPr>
      <w:r>
        <w:t xml:space="preserve">   {</w:t>
      </w:r>
    </w:p>
    <w:p w:rsidR="004B4C84" w:rsidRDefault="004B4C84">
      <w:pPr>
        <w:pStyle w:val="Code"/>
      </w:pPr>
    </w:p>
    <w:p w:rsidR="004B4C84" w:rsidRDefault="004B4C84">
      <w:pPr>
        <w:pStyle w:val="Code"/>
      </w:pPr>
      <w:r>
        <w:t xml:space="preserve">      if($config.Config.LearningAndBaseliningSettings -ne $null)</w:t>
      </w:r>
    </w:p>
    <w:p w:rsidR="004B4C84" w:rsidRDefault="004B4C84">
      <w:pPr>
        <w:pStyle w:val="Code"/>
      </w:pPr>
      <w:r>
        <w:t xml:space="preserve">      {</w:t>
      </w:r>
    </w:p>
    <w:p w:rsidR="004B4C84" w:rsidRDefault="004B4C84">
      <w:pPr>
        <w:pStyle w:val="Code"/>
      </w:pPr>
      <w:r>
        <w:t xml:space="preserve">         $threshold = "no threshold (baseline monitor)"</w:t>
      </w:r>
    </w:p>
    <w:p w:rsidR="004B4C84" w:rsidRDefault="004B4C84">
      <w:pPr>
        <w:pStyle w:val="Code"/>
      </w:pPr>
      <w:r>
        <w:t xml:space="preserve">      }</w:t>
      </w:r>
    </w:p>
    <w:p w:rsidR="004B4C84" w:rsidRDefault="004B4C84">
      <w:pPr>
        <w:pStyle w:val="Code"/>
      </w:pPr>
      <w:r>
        <w:t xml:space="preserve">   }</w:t>
      </w:r>
    </w:p>
    <w:p w:rsidR="004B4C84" w:rsidRDefault="004B4C84">
      <w:pPr>
        <w:pStyle w:val="Code"/>
      </w:pPr>
    </w:p>
    <w:p w:rsidR="004B4C84" w:rsidRDefault="004B4C84">
      <w:pPr>
        <w:pStyle w:val="Code"/>
      </w:pPr>
      <w:r>
        <w:t xml:space="preserve">   return $threshold</w:t>
      </w:r>
    </w:p>
    <w:p w:rsidR="004B4C84" w:rsidRDefault="004B4C84">
      <w:pPr>
        <w:pStyle w:val="Code"/>
      </w:pPr>
      <w:r>
        <w:t>}</w:t>
      </w:r>
    </w:p>
    <w:p w:rsidR="004B4C84" w:rsidRDefault="004B4C84">
      <w:pPr>
        <w:pStyle w:val="Code"/>
      </w:pPr>
    </w:p>
    <w:p w:rsidR="004B4C84" w:rsidRDefault="004B4C84">
      <w:pPr>
        <w:pStyle w:val="Code"/>
      </w:pPr>
      <w:r>
        <w:t>$perfMonitors = get-monitor -Criteria:"IsUnitMonitor=1 and Category='PerformanceHealth'"</w:t>
      </w:r>
    </w:p>
    <w:p w:rsidR="004B4C84" w:rsidRDefault="004B4C84">
      <w:pPr>
        <w:pStyle w:val="Code"/>
      </w:pPr>
    </w:p>
    <w:p w:rsidR="004B4C84" w:rsidRDefault="004B4C84">
      <w:pPr>
        <w:pStyle w:val="Code"/>
      </w:pPr>
      <w:r>
        <w:t>$perfMonitors | select-object @{name="Target";expression={foreach-object {(Get-MonitoringClass -Id:$_.Target.Id).DisplayName}}},DisplayName, @{name="Threshold";expression={foreach-object {GetThreshold $_.Configuration}}}, @{name="AlertOnState";expression={foreach-object {$_.AlertSettings.AlertOnState}}}, @{name="AutoResolveAlert";expression={foreach-object {$_.AlertSettings.AutoResolve}}}, @{name="AlertSeverity";expression={foreach-object {$_.AlertSettings.AlertSeverity}}} | sort Target, DisplayName | export-csv "c:\monitor_thresholds.csv"</w:t>
      </w:r>
    </w:p>
    <w:p w:rsidR="004B4C84" w:rsidRDefault="004B4C84">
      <w:pPr>
        <w:pStyle w:val="Code"/>
      </w:pPr>
    </w:p>
    <w:p w:rsidR="004B4C84" w:rsidRDefault="004B4C84">
      <w:pPr>
        <w:pStyle w:val="DSTOC3-0"/>
      </w:pPr>
      <w:r>
        <w:lastRenderedPageBreak/>
        <w:t>Comment afficher les règles de collecte des performances</w:t>
      </w:r>
    </w:p>
    <w:p w:rsidR="004B4C84" w:rsidRDefault="004B4C84">
      <w:r>
        <w:t>Pour afficher les règles de collecte des performances, utilisez le script de cette section. Ce script fonctionne pour la plupart des analyseurs. Il crée un fichier .csv qu’il est possible d’ouvrir dans Microsoft Office Excel et contient les colonnes suivantes.</w:t>
      </w:r>
    </w:p>
    <w:p w:rsidR="004B4C84" w:rsidRDefault="004B4C84">
      <w:pPr>
        <w:pStyle w:val="TableSpacing"/>
      </w:pPr>
    </w:p>
    <w:tbl>
      <w:tblPr>
        <w:tblStyle w:val="TablewithHeader"/>
        <w:tblW w:w="0" w:type="auto"/>
        <w:tblLook w:val="01E0"/>
      </w:tblPr>
      <w:tblGrid>
        <w:gridCol w:w="4407"/>
        <w:gridCol w:w="4405"/>
      </w:tblGrid>
      <w:tr w:rsidR="004B4C84" w:rsidTr="00A01823">
        <w:trPr>
          <w:cnfStyle w:val="100000000000"/>
        </w:trPr>
        <w:tc>
          <w:tcPr>
            <w:tcW w:w="4428" w:type="dxa"/>
          </w:tcPr>
          <w:p w:rsidR="004B4C84" w:rsidRDefault="004B4C84">
            <w:r>
              <w:t>Colonne</w:t>
            </w:r>
          </w:p>
        </w:tc>
        <w:tc>
          <w:tcPr>
            <w:tcW w:w="4428" w:type="dxa"/>
          </w:tcPr>
          <w:p w:rsidR="004B4C84" w:rsidRDefault="004B4C84">
            <w:r>
              <w:t>Description</w:t>
            </w:r>
          </w:p>
        </w:tc>
      </w:tr>
      <w:tr w:rsidR="004B4C84" w:rsidTr="00A01823">
        <w:tc>
          <w:tcPr>
            <w:tcW w:w="4428" w:type="dxa"/>
          </w:tcPr>
          <w:p w:rsidR="004B4C84" w:rsidRDefault="004B4C84">
            <w:r>
              <w:t>WriteAction</w:t>
            </w:r>
          </w:p>
        </w:tc>
        <w:tc>
          <w:tcPr>
            <w:tcW w:w="4428" w:type="dxa"/>
          </w:tcPr>
          <w:p w:rsidR="004B4C84" w:rsidRDefault="004B4C84">
            <w:r>
              <w:t>Contient des informations sur l’emplacement dans lequel le compteur de performance est enregistré</w:t>
            </w:r>
          </w:p>
        </w:tc>
      </w:tr>
      <w:tr w:rsidR="004B4C84" w:rsidTr="00A01823">
        <w:tc>
          <w:tcPr>
            <w:tcW w:w="4428" w:type="dxa"/>
          </w:tcPr>
          <w:p w:rsidR="004B4C84" w:rsidRDefault="004B4C84">
            <w:r>
              <w:t>WriteToDB ou CollectionPerformanceData</w:t>
            </w:r>
          </w:p>
        </w:tc>
        <w:tc>
          <w:tcPr>
            <w:tcW w:w="4428" w:type="dxa"/>
          </w:tcPr>
          <w:p w:rsidR="004B4C84" w:rsidRDefault="004B4C84">
            <w:r>
              <w:t>Écrit dans la base de données Operations Manager 2007</w:t>
            </w:r>
          </w:p>
        </w:tc>
      </w:tr>
      <w:tr w:rsidR="004B4C84" w:rsidTr="00A01823">
        <w:tc>
          <w:tcPr>
            <w:tcW w:w="4428" w:type="dxa"/>
          </w:tcPr>
          <w:p w:rsidR="004B4C84" w:rsidRDefault="004B4C84">
            <w:r>
              <w:t>WriteToDW ou CollectPerfDataWarehouse</w:t>
            </w:r>
          </w:p>
        </w:tc>
        <w:tc>
          <w:tcPr>
            <w:tcW w:w="4428" w:type="dxa"/>
          </w:tcPr>
          <w:p w:rsidR="004B4C84" w:rsidRDefault="004B4C84">
            <w:r>
              <w:t>Écrit dans l’entrepôt de données</w:t>
            </w:r>
          </w:p>
        </w:tc>
      </w:tr>
      <w:tr w:rsidR="004B4C84" w:rsidTr="00A01823">
        <w:tc>
          <w:tcPr>
            <w:tcW w:w="4428" w:type="dxa"/>
          </w:tcPr>
          <w:p w:rsidR="004B4C84" w:rsidRDefault="004B4C84">
            <w:r>
              <w:t>WC</w:t>
            </w:r>
          </w:p>
        </w:tc>
        <w:tc>
          <w:tcPr>
            <w:tcW w:w="4428" w:type="dxa"/>
          </w:tcPr>
          <w:p w:rsidR="004B4C84" w:rsidRDefault="004B4C84">
            <w:r>
              <w:t>Stocke les données de base d’un compteur de performance dans la base de données opérationnelle</w:t>
            </w:r>
          </w:p>
        </w:tc>
      </w:tr>
    </w:tbl>
    <w:p w:rsidR="004B4C84" w:rsidRDefault="004B4C84">
      <w:pPr>
        <w:pStyle w:val="TableSpacing"/>
      </w:pPr>
    </w:p>
    <w:p w:rsidR="004B4C84" w:rsidRDefault="004B4C84">
      <w:r>
        <w:t> </w:t>
      </w:r>
    </w:p>
    <w:p w:rsidR="004B4C84" w:rsidRDefault="004B4C84">
      <w:r>
        <w:t>Pour afficher les règles de collecte des performances faisant partie du groupe d’administration, exécutez le script suivant :</w:t>
      </w:r>
    </w:p>
    <w:p w:rsidR="004B4C84" w:rsidRDefault="004B4C84">
      <w:pPr>
        <w:pStyle w:val="Code"/>
      </w:pPr>
      <w:r>
        <w:t>function GetPerfCounterName ([String] $configuration)</w:t>
      </w:r>
    </w:p>
    <w:p w:rsidR="004B4C84" w:rsidRDefault="004B4C84">
      <w:pPr>
        <w:pStyle w:val="Code"/>
      </w:pPr>
      <w:r>
        <w:t>{</w:t>
      </w:r>
    </w:p>
    <w:p w:rsidR="004B4C84" w:rsidRDefault="004B4C84">
      <w:pPr>
        <w:pStyle w:val="Code"/>
      </w:pPr>
      <w:r>
        <w:t xml:space="preserve">   $config = [xml] ("&lt;config&gt;" + $configuration + "&lt;/config&gt;")</w:t>
      </w:r>
    </w:p>
    <w:p w:rsidR="004B4C84" w:rsidRDefault="004B4C84">
      <w:pPr>
        <w:pStyle w:val="Code"/>
      </w:pPr>
      <w:r>
        <w:t xml:space="preserve">   return ($config.Config.ObjectName + "\" + $config.Config.CounterName)</w:t>
      </w:r>
    </w:p>
    <w:p w:rsidR="004B4C84" w:rsidRDefault="004B4C84">
      <w:pPr>
        <w:pStyle w:val="Code"/>
      </w:pPr>
      <w:r>
        <w:t>}</w:t>
      </w:r>
    </w:p>
    <w:p w:rsidR="004B4C84" w:rsidRDefault="004B4C84">
      <w:pPr>
        <w:pStyle w:val="Code"/>
      </w:pPr>
    </w:p>
    <w:p w:rsidR="004B4C84" w:rsidRDefault="004B4C84">
      <w:pPr>
        <w:pStyle w:val="Code"/>
      </w:pPr>
      <w:r>
        <w:t>function GetFrequency ([String] $configuration)</w:t>
      </w:r>
    </w:p>
    <w:p w:rsidR="004B4C84" w:rsidRDefault="004B4C84">
      <w:pPr>
        <w:pStyle w:val="Code"/>
      </w:pPr>
      <w:r>
        <w:t>{</w:t>
      </w:r>
    </w:p>
    <w:p w:rsidR="004B4C84" w:rsidRDefault="004B4C84">
      <w:pPr>
        <w:pStyle w:val="Code"/>
      </w:pPr>
      <w:r>
        <w:t xml:space="preserve">   $config = [xml] ("&lt;config&gt;" + $configuration + "&lt;/config&gt;")</w:t>
      </w:r>
    </w:p>
    <w:p w:rsidR="004B4C84" w:rsidRDefault="004B4C84">
      <w:pPr>
        <w:pStyle w:val="Code"/>
      </w:pPr>
      <w:r>
        <w:t xml:space="preserve">   $frequency = $config.Config.Frequency;</w:t>
      </w:r>
    </w:p>
    <w:p w:rsidR="004B4C84" w:rsidRDefault="004B4C84">
      <w:pPr>
        <w:pStyle w:val="Code"/>
      </w:pPr>
    </w:p>
    <w:p w:rsidR="004B4C84" w:rsidRDefault="004B4C84">
      <w:pPr>
        <w:pStyle w:val="Code"/>
      </w:pPr>
      <w:r>
        <w:t xml:space="preserve">   if($frequency -eq $null)</w:t>
      </w:r>
    </w:p>
    <w:p w:rsidR="004B4C84" w:rsidRDefault="004B4C84">
      <w:pPr>
        <w:pStyle w:val="Code"/>
      </w:pPr>
      <w:r>
        <w:t xml:space="preserve">   {</w:t>
      </w:r>
    </w:p>
    <w:p w:rsidR="004B4C84" w:rsidRDefault="004B4C84">
      <w:pPr>
        <w:pStyle w:val="Code"/>
      </w:pPr>
      <w:r>
        <w:t xml:space="preserve">      $frequency = $config.Config.IntervalSeconds;</w:t>
      </w:r>
    </w:p>
    <w:p w:rsidR="004B4C84" w:rsidRDefault="004B4C84">
      <w:pPr>
        <w:pStyle w:val="Code"/>
      </w:pPr>
      <w:r>
        <w:t xml:space="preserve">   }</w:t>
      </w:r>
    </w:p>
    <w:p w:rsidR="004B4C84" w:rsidRDefault="004B4C84">
      <w:pPr>
        <w:pStyle w:val="Code"/>
      </w:pPr>
    </w:p>
    <w:p w:rsidR="004B4C84" w:rsidRDefault="004B4C84">
      <w:pPr>
        <w:pStyle w:val="Code"/>
      </w:pPr>
      <w:r>
        <w:lastRenderedPageBreak/>
        <w:t xml:space="preserve">   return ($frequency)</w:t>
      </w:r>
    </w:p>
    <w:p w:rsidR="004B4C84" w:rsidRDefault="004B4C84">
      <w:pPr>
        <w:pStyle w:val="Code"/>
      </w:pPr>
      <w:r>
        <w:t>}</w:t>
      </w:r>
    </w:p>
    <w:p w:rsidR="004B4C84" w:rsidRDefault="004B4C84">
      <w:pPr>
        <w:pStyle w:val="Code"/>
      </w:pPr>
    </w:p>
    <w:p w:rsidR="004B4C84" w:rsidRDefault="004B4C84">
      <w:pPr>
        <w:pStyle w:val="Code"/>
      </w:pPr>
      <w:r>
        <w:t>function GetDisplayName($performanceRule)</w:t>
      </w:r>
    </w:p>
    <w:p w:rsidR="004B4C84" w:rsidRDefault="004B4C84">
      <w:pPr>
        <w:pStyle w:val="Code"/>
      </w:pPr>
      <w:r>
        <w:t>{</w:t>
      </w:r>
    </w:p>
    <w:p w:rsidR="004B4C84" w:rsidRDefault="004B4C84">
      <w:pPr>
        <w:pStyle w:val="Code"/>
      </w:pPr>
      <w:r>
        <w:t xml:space="preserve">   if($performanceRule.DisplayName -eq $null)</w:t>
      </w:r>
    </w:p>
    <w:p w:rsidR="004B4C84" w:rsidRDefault="004B4C84">
      <w:pPr>
        <w:pStyle w:val="Code"/>
      </w:pPr>
      <w:r>
        <w:t xml:space="preserve">   {</w:t>
      </w:r>
    </w:p>
    <w:p w:rsidR="004B4C84" w:rsidRDefault="004B4C84">
      <w:pPr>
        <w:pStyle w:val="Code"/>
      </w:pPr>
      <w:r>
        <w:t xml:space="preserve">      return ($performanceRule.Name);</w:t>
      </w:r>
    </w:p>
    <w:p w:rsidR="004B4C84" w:rsidRDefault="004B4C84">
      <w:pPr>
        <w:pStyle w:val="Code"/>
      </w:pPr>
      <w:r>
        <w:t xml:space="preserve">   }</w:t>
      </w:r>
    </w:p>
    <w:p w:rsidR="004B4C84" w:rsidRDefault="004B4C84">
      <w:pPr>
        <w:pStyle w:val="Code"/>
      </w:pPr>
      <w:r>
        <w:t xml:space="preserve">   else</w:t>
      </w:r>
    </w:p>
    <w:p w:rsidR="004B4C84" w:rsidRDefault="004B4C84">
      <w:pPr>
        <w:pStyle w:val="Code"/>
      </w:pPr>
      <w:r>
        <w:t xml:space="preserve">   {</w:t>
      </w:r>
    </w:p>
    <w:p w:rsidR="004B4C84" w:rsidRDefault="004B4C84">
      <w:pPr>
        <w:pStyle w:val="Code"/>
      </w:pPr>
      <w:r>
        <w:t xml:space="preserve">      return ($performanceRule.DisplayName);</w:t>
      </w:r>
    </w:p>
    <w:p w:rsidR="004B4C84" w:rsidRDefault="004B4C84">
      <w:pPr>
        <w:pStyle w:val="Code"/>
      </w:pPr>
      <w:r>
        <w:t xml:space="preserve">   }</w:t>
      </w:r>
    </w:p>
    <w:p w:rsidR="004B4C84" w:rsidRDefault="004B4C84">
      <w:pPr>
        <w:pStyle w:val="Code"/>
      </w:pPr>
      <w:r>
        <w:t>}</w:t>
      </w:r>
    </w:p>
    <w:p w:rsidR="004B4C84" w:rsidRDefault="004B4C84">
      <w:pPr>
        <w:pStyle w:val="Code"/>
      </w:pPr>
    </w:p>
    <w:p w:rsidR="004B4C84" w:rsidRDefault="004B4C84">
      <w:pPr>
        <w:pStyle w:val="Code"/>
      </w:pPr>
      <w:r>
        <w:t>function GetWriteActionNames($performanceRule)</w:t>
      </w:r>
    </w:p>
    <w:p w:rsidR="004B4C84" w:rsidRDefault="004B4C84">
      <w:pPr>
        <w:pStyle w:val="Code"/>
      </w:pPr>
      <w:r>
        <w:t>{</w:t>
      </w:r>
    </w:p>
    <w:p w:rsidR="004B4C84" w:rsidRDefault="004B4C84">
      <w:pPr>
        <w:pStyle w:val="Code"/>
      </w:pPr>
      <w:r>
        <w:t xml:space="preserve">   $writeActions = ""; </w:t>
      </w:r>
    </w:p>
    <w:p w:rsidR="004B4C84" w:rsidRDefault="004B4C84">
      <w:pPr>
        <w:pStyle w:val="Code"/>
      </w:pPr>
      <w:r>
        <w:t xml:space="preserve">   foreach($writeAction in $performanceRule.WriteActionCollection)</w:t>
      </w:r>
    </w:p>
    <w:p w:rsidR="004B4C84" w:rsidRDefault="004B4C84">
      <w:pPr>
        <w:pStyle w:val="Code"/>
      </w:pPr>
      <w:r>
        <w:t xml:space="preserve">   {</w:t>
      </w:r>
    </w:p>
    <w:p w:rsidR="004B4C84" w:rsidRDefault="004B4C84">
      <w:pPr>
        <w:pStyle w:val="Code"/>
      </w:pPr>
      <w:r>
        <w:t xml:space="preserve">      $writeActions += " " + $writeAction.Name;</w:t>
      </w:r>
    </w:p>
    <w:p w:rsidR="004B4C84" w:rsidRDefault="004B4C84">
      <w:pPr>
        <w:pStyle w:val="Code"/>
      </w:pPr>
      <w:r>
        <w:t xml:space="preserve">   }</w:t>
      </w:r>
    </w:p>
    <w:p w:rsidR="004B4C84" w:rsidRDefault="004B4C84">
      <w:pPr>
        <w:pStyle w:val="Code"/>
      </w:pPr>
      <w:r>
        <w:t xml:space="preserve">   return ($writeActions);</w:t>
      </w:r>
    </w:p>
    <w:p w:rsidR="004B4C84" w:rsidRDefault="004B4C84">
      <w:pPr>
        <w:pStyle w:val="Code"/>
      </w:pPr>
      <w:r>
        <w:t>}</w:t>
      </w:r>
    </w:p>
    <w:p w:rsidR="004B4C84" w:rsidRDefault="004B4C84">
      <w:pPr>
        <w:pStyle w:val="Code"/>
      </w:pPr>
    </w:p>
    <w:p w:rsidR="004B4C84" w:rsidRDefault="004B4C84">
      <w:pPr>
        <w:pStyle w:val="Code"/>
      </w:pPr>
      <w:r>
        <w:t>$perf_collection_rules = get-rule -criteria:"Category='PerformanceCollection'"</w:t>
      </w:r>
    </w:p>
    <w:p w:rsidR="004B4C84" w:rsidRDefault="004B4C84">
      <w:pPr>
        <w:pStyle w:val="Code"/>
      </w:pPr>
    </w:p>
    <w:p w:rsidR="004B4C84" w:rsidRDefault="004B4C84">
      <w:pPr>
        <w:pStyle w:val="Code"/>
      </w:pPr>
      <w:r>
        <w:t>$perf_collection_rules | select-object @{name="Type";expression={foreach-object {(Get-MonitoringClass -id:$_.Target.Id).DisplayName}}},@{name="RuleDisplayName";expression={foreach-object {GetDisplayName $_}}} ,@{name="CounterName";expression={foreach-object {GetPerfCounterName $_.DataSourceCollection[0].Configuration}}},@{name="Frequency";expression={foreach-object {GetFrequency $_.DataSourceCollection[0].Configuration}}},@{name="WriteActions";expression={foreach-</w:t>
      </w:r>
      <w:r>
        <w:lastRenderedPageBreak/>
        <w:t>object {GetWriteActionNames $_}}}  | sort Type,RuleDisplayName,CounterName | export-csv "c:\perf_collection_rules.csv"</w:t>
      </w:r>
    </w:p>
    <w:p w:rsidR="004B4C84" w:rsidRDefault="004B4C84">
      <w:pPr>
        <w:pStyle w:val="Code"/>
      </w:pPr>
    </w:p>
    <w:p w:rsidR="00443C59" w:rsidRPr="008107E0" w:rsidRDefault="00443C59" w:rsidP="00B447BE">
      <w:pPr>
        <w:rPr>
          <w:rFonts w:eastAsiaTheme="minorEastAsia"/>
          <w:lang w:eastAsia="zh-CN"/>
        </w:rPr>
      </w:pPr>
    </w:p>
    <w:sectPr w:rsidR="00443C59" w:rsidRPr="008107E0" w:rsidSect="004B4C84">
      <w:headerReference w:type="default" r:id="rId31"/>
      <w:footerReference w:type="default" r:id="rId32"/>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C84" w:rsidRDefault="004B4C84">
      <w:r>
        <w:separator/>
      </w:r>
    </w:p>
    <w:p w:rsidR="004B4C84" w:rsidRDefault="004B4C84"/>
  </w:endnote>
  <w:endnote w:type="continuationSeparator" w:id="0">
    <w:p w:rsidR="004B4C84" w:rsidRDefault="004B4C84">
      <w:r>
        <w:continuationSeparator/>
      </w:r>
    </w:p>
    <w:p w:rsidR="004B4C84" w:rsidRDefault="004B4C8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376AD7" w:rsidP="004B4C84">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4B4C84">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84" w:rsidRDefault="004B4C8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84" w:rsidRDefault="004B4C84" w:rsidP="004B4C84">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84" w:rsidRDefault="004B4C84" w:rsidP="004B4C84">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84" w:rsidRDefault="004B4C84" w:rsidP="004B4C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4B4C84" w:rsidRDefault="004B4C84" w:rsidP="004B4C84">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C84" w:rsidRDefault="004B4C84">
      <w:r>
        <w:separator/>
      </w:r>
    </w:p>
    <w:p w:rsidR="004B4C84" w:rsidRDefault="004B4C84"/>
  </w:footnote>
  <w:footnote w:type="continuationSeparator" w:id="0">
    <w:p w:rsidR="004B4C84" w:rsidRDefault="004B4C84">
      <w:r>
        <w:continuationSeparator/>
      </w:r>
    </w:p>
    <w:p w:rsidR="004B4C84" w:rsidRDefault="004B4C8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376AD7"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84" w:rsidRDefault="004B4C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84" w:rsidRDefault="004B4C8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84" w:rsidRDefault="004B4C84" w:rsidP="004B4C84">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applyBreakingRules/>
  </w:compat>
  <w:rsids>
    <w:rsid w:val="00000947"/>
    <w:rsid w:val="00003423"/>
    <w:rsid w:val="000105B5"/>
    <w:rsid w:val="000279F4"/>
    <w:rsid w:val="000315C1"/>
    <w:rsid w:val="00037727"/>
    <w:rsid w:val="00047637"/>
    <w:rsid w:val="0005170A"/>
    <w:rsid w:val="000543DD"/>
    <w:rsid w:val="000565A6"/>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76AD7"/>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4C84"/>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4B4C84"/>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4B4C84"/>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4B4C84"/>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4B4C84"/>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4B4C84"/>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4B4C84"/>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4B4C84"/>
    <w:pPr>
      <w:spacing w:before="120" w:line="240" w:lineRule="auto"/>
      <w:outlineLvl w:val="5"/>
    </w:pPr>
    <w:rPr>
      <w:b/>
    </w:rPr>
  </w:style>
  <w:style w:type="paragraph" w:styleId="Heading7">
    <w:name w:val="heading 7"/>
    <w:aliases w:val="h7"/>
    <w:basedOn w:val="Normal"/>
    <w:next w:val="Normal"/>
    <w:qFormat/>
    <w:locked/>
    <w:rsid w:val="004B4C84"/>
    <w:pPr>
      <w:outlineLvl w:val="6"/>
    </w:pPr>
    <w:rPr>
      <w:b/>
      <w:szCs w:val="24"/>
    </w:rPr>
  </w:style>
  <w:style w:type="paragraph" w:styleId="Heading8">
    <w:name w:val="heading 8"/>
    <w:aliases w:val="h8"/>
    <w:basedOn w:val="Normal"/>
    <w:next w:val="Normal"/>
    <w:qFormat/>
    <w:locked/>
    <w:rsid w:val="004B4C84"/>
    <w:pPr>
      <w:outlineLvl w:val="7"/>
    </w:pPr>
    <w:rPr>
      <w:b/>
      <w:iCs/>
    </w:rPr>
  </w:style>
  <w:style w:type="paragraph" w:styleId="Heading9">
    <w:name w:val="heading 9"/>
    <w:aliases w:val="h9"/>
    <w:basedOn w:val="Normal"/>
    <w:next w:val="Normal"/>
    <w:qFormat/>
    <w:locked/>
    <w:rsid w:val="004B4C84"/>
    <w:pPr>
      <w:outlineLvl w:val="8"/>
    </w:pPr>
    <w:rPr>
      <w:rFonts w:cs="Arial"/>
      <w:b/>
    </w:rPr>
  </w:style>
  <w:style w:type="character" w:default="1" w:styleId="DefaultParagraphFont">
    <w:name w:val="Default Paragraph Font"/>
    <w:uiPriority w:val="1"/>
    <w:semiHidden/>
    <w:unhideWhenUsed/>
    <w:rsid w:val="004B4C8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4B4C84"/>
  </w:style>
  <w:style w:type="paragraph" w:customStyle="1" w:styleId="Figure">
    <w:name w:val="Figure"/>
    <w:aliases w:val="fig"/>
    <w:basedOn w:val="Normal"/>
    <w:rsid w:val="004B4C84"/>
    <w:pPr>
      <w:spacing w:line="240" w:lineRule="auto"/>
    </w:pPr>
    <w:rPr>
      <w:color w:val="0000FF"/>
    </w:rPr>
  </w:style>
  <w:style w:type="paragraph" w:customStyle="1" w:styleId="Code">
    <w:name w:val="Code"/>
    <w:aliases w:val="c"/>
    <w:link w:val="CodeChar"/>
    <w:locked/>
    <w:rsid w:val="004B4C84"/>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4B4C84"/>
    <w:pPr>
      <w:ind w:left="720"/>
    </w:pPr>
  </w:style>
  <w:style w:type="paragraph" w:customStyle="1" w:styleId="TextinList2">
    <w:name w:val="Text in List 2"/>
    <w:aliases w:val="t2"/>
    <w:basedOn w:val="Normal"/>
    <w:rsid w:val="004B4C84"/>
    <w:pPr>
      <w:ind w:left="720"/>
    </w:pPr>
  </w:style>
  <w:style w:type="paragraph" w:customStyle="1" w:styleId="Label">
    <w:name w:val="Label"/>
    <w:aliases w:val="l"/>
    <w:basedOn w:val="Normal"/>
    <w:link w:val="LabelChar"/>
    <w:rsid w:val="004B4C84"/>
    <w:pPr>
      <w:keepNext/>
      <w:spacing w:before="240" w:line="240" w:lineRule="auto"/>
    </w:pPr>
    <w:rPr>
      <w:b/>
    </w:rPr>
  </w:style>
  <w:style w:type="paragraph" w:styleId="FootnoteText">
    <w:name w:val="footnote text"/>
    <w:aliases w:val="ft,Used by Word for text of Help footnotes"/>
    <w:basedOn w:val="Normal"/>
    <w:rsid w:val="004B4C84"/>
    <w:rPr>
      <w:color w:val="0000FF"/>
    </w:rPr>
  </w:style>
  <w:style w:type="paragraph" w:customStyle="1" w:styleId="NumberedList2">
    <w:name w:val="Numbered List 2"/>
    <w:aliases w:val="nl2"/>
    <w:basedOn w:val="ListNumber"/>
    <w:rsid w:val="004B4C84"/>
    <w:pPr>
      <w:numPr>
        <w:numId w:val="4"/>
      </w:numPr>
    </w:pPr>
  </w:style>
  <w:style w:type="paragraph" w:customStyle="1" w:styleId="Syntax">
    <w:name w:val="Syntax"/>
    <w:aliases w:val="s"/>
    <w:basedOn w:val="Normal"/>
    <w:locked/>
    <w:rsid w:val="004B4C84"/>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4B4C84"/>
    <w:rPr>
      <w:color w:val="0000FF"/>
      <w:vertAlign w:val="superscript"/>
    </w:rPr>
  </w:style>
  <w:style w:type="character" w:customStyle="1" w:styleId="CodeEmbedded">
    <w:name w:val="Code Embedded"/>
    <w:aliases w:val="ce"/>
    <w:basedOn w:val="DefaultParagraphFont"/>
    <w:rsid w:val="004B4C84"/>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4B4C84"/>
    <w:rPr>
      <w:b/>
      <w:szCs w:val="18"/>
    </w:rPr>
  </w:style>
  <w:style w:type="character" w:customStyle="1" w:styleId="LinkText">
    <w:name w:val="Link Text"/>
    <w:aliases w:val="lt"/>
    <w:basedOn w:val="DefaultParagraphFont"/>
    <w:rsid w:val="004B4C84"/>
    <w:rPr>
      <w:color w:val="0000FF"/>
      <w:szCs w:val="18"/>
      <w:u w:val="single"/>
    </w:rPr>
  </w:style>
  <w:style w:type="character" w:customStyle="1" w:styleId="LinkID">
    <w:name w:val="Link ID"/>
    <w:aliases w:val="lid"/>
    <w:basedOn w:val="DefaultParagraphFont"/>
    <w:rsid w:val="004B4C84"/>
    <w:rPr>
      <w:noProof/>
      <w:vanish/>
      <w:color w:val="0000FF"/>
      <w:szCs w:val="18"/>
      <w:u w:val="none"/>
      <w:bdr w:val="none" w:sz="0" w:space="0" w:color="auto"/>
      <w:shd w:val="clear" w:color="auto" w:fill="auto"/>
      <w:lang w:val="en-US"/>
    </w:rPr>
  </w:style>
  <w:style w:type="paragraph" w:customStyle="1" w:styleId="DSTOC1-0">
    <w:name w:val="DSTOC1-0"/>
    <w:basedOn w:val="Heading1"/>
    <w:rsid w:val="004B4C84"/>
    <w:pPr>
      <w:outlineLvl w:val="9"/>
    </w:pPr>
    <w:rPr>
      <w:bCs/>
    </w:rPr>
  </w:style>
  <w:style w:type="paragraph" w:customStyle="1" w:styleId="DSTOC2-0">
    <w:name w:val="DSTOC2-0"/>
    <w:basedOn w:val="Heading2"/>
    <w:rsid w:val="004B4C84"/>
    <w:pPr>
      <w:outlineLvl w:val="9"/>
    </w:pPr>
    <w:rPr>
      <w:bCs/>
      <w:iCs/>
    </w:rPr>
  </w:style>
  <w:style w:type="paragraph" w:customStyle="1" w:styleId="DSTOC3-0">
    <w:name w:val="DSTOC3-0"/>
    <w:basedOn w:val="Heading3"/>
    <w:rsid w:val="004B4C84"/>
    <w:pPr>
      <w:outlineLvl w:val="9"/>
    </w:pPr>
    <w:rPr>
      <w:bCs/>
    </w:rPr>
  </w:style>
  <w:style w:type="paragraph" w:customStyle="1" w:styleId="DSTOC4-0">
    <w:name w:val="DSTOC4-0"/>
    <w:basedOn w:val="Heading4"/>
    <w:rsid w:val="004B4C84"/>
    <w:pPr>
      <w:outlineLvl w:val="9"/>
    </w:pPr>
    <w:rPr>
      <w:bCs/>
    </w:rPr>
  </w:style>
  <w:style w:type="paragraph" w:customStyle="1" w:styleId="DSTOC5-0">
    <w:name w:val="DSTOC5-0"/>
    <w:basedOn w:val="Heading5"/>
    <w:rsid w:val="004B4C84"/>
    <w:pPr>
      <w:outlineLvl w:val="9"/>
    </w:pPr>
    <w:rPr>
      <w:bCs/>
      <w:iCs/>
    </w:rPr>
  </w:style>
  <w:style w:type="paragraph" w:customStyle="1" w:styleId="DSTOC6-0">
    <w:name w:val="DSTOC6-0"/>
    <w:basedOn w:val="Heading6"/>
    <w:rsid w:val="004B4C84"/>
    <w:pPr>
      <w:outlineLvl w:val="9"/>
    </w:pPr>
    <w:rPr>
      <w:bCs/>
    </w:rPr>
  </w:style>
  <w:style w:type="paragraph" w:customStyle="1" w:styleId="DSTOC7-0">
    <w:name w:val="DSTOC7-0"/>
    <w:basedOn w:val="Heading7"/>
    <w:rsid w:val="004B4C84"/>
    <w:pPr>
      <w:outlineLvl w:val="9"/>
    </w:pPr>
  </w:style>
  <w:style w:type="paragraph" w:customStyle="1" w:styleId="DSTOC8-0">
    <w:name w:val="DSTOC8-0"/>
    <w:basedOn w:val="Heading8"/>
    <w:rsid w:val="004B4C84"/>
    <w:pPr>
      <w:outlineLvl w:val="9"/>
    </w:pPr>
  </w:style>
  <w:style w:type="paragraph" w:customStyle="1" w:styleId="DSTOC9-0">
    <w:name w:val="DSTOC9-0"/>
    <w:basedOn w:val="Heading9"/>
    <w:rsid w:val="004B4C84"/>
    <w:pPr>
      <w:outlineLvl w:val="9"/>
    </w:pPr>
  </w:style>
  <w:style w:type="paragraph" w:customStyle="1" w:styleId="DSTOC1-1">
    <w:name w:val="DSTOC1-1"/>
    <w:basedOn w:val="Heading1"/>
    <w:rsid w:val="004B4C84"/>
    <w:pPr>
      <w:outlineLvl w:val="1"/>
    </w:pPr>
    <w:rPr>
      <w:bCs/>
    </w:rPr>
  </w:style>
  <w:style w:type="paragraph" w:customStyle="1" w:styleId="DSTOC1-2">
    <w:name w:val="DSTOC1-2"/>
    <w:basedOn w:val="Heading2"/>
    <w:rsid w:val="004B4C84"/>
  </w:style>
  <w:style w:type="paragraph" w:customStyle="1" w:styleId="DSTOC1-3">
    <w:name w:val="DSTOC1-3"/>
    <w:basedOn w:val="Heading3"/>
    <w:rsid w:val="004B4C84"/>
  </w:style>
  <w:style w:type="paragraph" w:customStyle="1" w:styleId="DSTOC1-4">
    <w:name w:val="DSTOC1-4"/>
    <w:basedOn w:val="Heading4"/>
    <w:rsid w:val="004B4C84"/>
  </w:style>
  <w:style w:type="paragraph" w:customStyle="1" w:styleId="DSTOC1-5">
    <w:name w:val="DSTOC1-5"/>
    <w:basedOn w:val="Heading5"/>
    <w:rsid w:val="004B4C84"/>
  </w:style>
  <w:style w:type="paragraph" w:customStyle="1" w:styleId="DSTOC1-6">
    <w:name w:val="DSTOC1-6"/>
    <w:basedOn w:val="Heading6"/>
    <w:rsid w:val="004B4C84"/>
  </w:style>
  <w:style w:type="paragraph" w:customStyle="1" w:styleId="DSTOC1-7">
    <w:name w:val="DSTOC1-7"/>
    <w:basedOn w:val="Heading7"/>
    <w:rsid w:val="004B4C84"/>
  </w:style>
  <w:style w:type="paragraph" w:customStyle="1" w:styleId="DSTOC1-8">
    <w:name w:val="DSTOC1-8"/>
    <w:basedOn w:val="Heading8"/>
    <w:rsid w:val="004B4C84"/>
  </w:style>
  <w:style w:type="paragraph" w:customStyle="1" w:styleId="DSTOC1-9">
    <w:name w:val="DSTOC1-9"/>
    <w:basedOn w:val="Heading9"/>
    <w:rsid w:val="004B4C84"/>
  </w:style>
  <w:style w:type="paragraph" w:customStyle="1" w:styleId="DSTOC2-2">
    <w:name w:val="DSTOC2-2"/>
    <w:basedOn w:val="Heading2"/>
    <w:rsid w:val="004B4C84"/>
    <w:pPr>
      <w:outlineLvl w:val="2"/>
    </w:pPr>
    <w:rPr>
      <w:bCs/>
      <w:iCs/>
    </w:rPr>
  </w:style>
  <w:style w:type="paragraph" w:customStyle="1" w:styleId="DSTOC2-3">
    <w:name w:val="DSTOC2-3"/>
    <w:basedOn w:val="DSTOC1-3"/>
    <w:rsid w:val="004B4C84"/>
  </w:style>
  <w:style w:type="paragraph" w:customStyle="1" w:styleId="DSTOC2-4">
    <w:name w:val="DSTOC2-4"/>
    <w:basedOn w:val="DSTOC1-4"/>
    <w:rsid w:val="004B4C84"/>
  </w:style>
  <w:style w:type="paragraph" w:customStyle="1" w:styleId="DSTOC2-5">
    <w:name w:val="DSTOC2-5"/>
    <w:basedOn w:val="DSTOC1-5"/>
    <w:rsid w:val="004B4C84"/>
  </w:style>
  <w:style w:type="paragraph" w:customStyle="1" w:styleId="DSTOC2-6">
    <w:name w:val="DSTOC2-6"/>
    <w:basedOn w:val="DSTOC1-6"/>
    <w:rsid w:val="004B4C84"/>
  </w:style>
  <w:style w:type="paragraph" w:customStyle="1" w:styleId="DSTOC2-7">
    <w:name w:val="DSTOC2-7"/>
    <w:basedOn w:val="DSTOC1-7"/>
    <w:rsid w:val="004B4C84"/>
  </w:style>
  <w:style w:type="paragraph" w:customStyle="1" w:styleId="DSTOC2-8">
    <w:name w:val="DSTOC2-8"/>
    <w:basedOn w:val="DSTOC1-8"/>
    <w:rsid w:val="004B4C84"/>
  </w:style>
  <w:style w:type="paragraph" w:customStyle="1" w:styleId="DSTOC2-9">
    <w:name w:val="DSTOC2-9"/>
    <w:basedOn w:val="DSTOC1-9"/>
    <w:rsid w:val="004B4C84"/>
  </w:style>
  <w:style w:type="paragraph" w:customStyle="1" w:styleId="DSTOC3-3">
    <w:name w:val="DSTOC3-3"/>
    <w:basedOn w:val="Heading3"/>
    <w:rsid w:val="004B4C84"/>
    <w:pPr>
      <w:outlineLvl w:val="3"/>
    </w:pPr>
    <w:rPr>
      <w:bCs/>
    </w:rPr>
  </w:style>
  <w:style w:type="paragraph" w:customStyle="1" w:styleId="DSTOC3-4">
    <w:name w:val="DSTOC3-4"/>
    <w:basedOn w:val="DSTOC2-4"/>
    <w:rsid w:val="004B4C84"/>
  </w:style>
  <w:style w:type="paragraph" w:customStyle="1" w:styleId="DSTOC3-5">
    <w:name w:val="DSTOC3-5"/>
    <w:basedOn w:val="DSTOC2-5"/>
    <w:rsid w:val="004B4C84"/>
  </w:style>
  <w:style w:type="paragraph" w:customStyle="1" w:styleId="DSTOC3-6">
    <w:name w:val="DSTOC3-6"/>
    <w:basedOn w:val="DSTOC2-6"/>
    <w:rsid w:val="004B4C84"/>
  </w:style>
  <w:style w:type="paragraph" w:customStyle="1" w:styleId="DSTOC3-7">
    <w:name w:val="DSTOC3-7"/>
    <w:basedOn w:val="DSTOC2-7"/>
    <w:rsid w:val="004B4C84"/>
  </w:style>
  <w:style w:type="paragraph" w:customStyle="1" w:styleId="DSTOC3-8">
    <w:name w:val="DSTOC3-8"/>
    <w:basedOn w:val="DSTOC2-8"/>
    <w:rsid w:val="004B4C84"/>
  </w:style>
  <w:style w:type="paragraph" w:customStyle="1" w:styleId="DSTOC3-9">
    <w:name w:val="DSTOC3-9"/>
    <w:basedOn w:val="DSTOC2-9"/>
    <w:rsid w:val="004B4C84"/>
  </w:style>
  <w:style w:type="paragraph" w:customStyle="1" w:styleId="DSTOC4-4">
    <w:name w:val="DSTOC4-4"/>
    <w:basedOn w:val="Heading4"/>
    <w:rsid w:val="004B4C84"/>
    <w:pPr>
      <w:outlineLvl w:val="4"/>
    </w:pPr>
    <w:rPr>
      <w:bCs/>
    </w:rPr>
  </w:style>
  <w:style w:type="paragraph" w:customStyle="1" w:styleId="DSTOC4-5">
    <w:name w:val="DSTOC4-5"/>
    <w:basedOn w:val="DSTOC3-5"/>
    <w:rsid w:val="004B4C84"/>
  </w:style>
  <w:style w:type="paragraph" w:customStyle="1" w:styleId="DSTOC4-6">
    <w:name w:val="DSTOC4-6"/>
    <w:basedOn w:val="DSTOC3-6"/>
    <w:rsid w:val="004B4C84"/>
  </w:style>
  <w:style w:type="paragraph" w:customStyle="1" w:styleId="DSTOC4-7">
    <w:name w:val="DSTOC4-7"/>
    <w:basedOn w:val="DSTOC3-7"/>
    <w:rsid w:val="004B4C84"/>
  </w:style>
  <w:style w:type="paragraph" w:customStyle="1" w:styleId="DSTOC4-8">
    <w:name w:val="DSTOC4-8"/>
    <w:basedOn w:val="DSTOC3-8"/>
    <w:rsid w:val="004B4C84"/>
  </w:style>
  <w:style w:type="paragraph" w:customStyle="1" w:styleId="DSTOC4-9">
    <w:name w:val="DSTOC4-9"/>
    <w:basedOn w:val="DSTOC3-9"/>
    <w:rsid w:val="004B4C84"/>
  </w:style>
  <w:style w:type="paragraph" w:customStyle="1" w:styleId="DSTOC5-5">
    <w:name w:val="DSTOC5-5"/>
    <w:basedOn w:val="Heading5"/>
    <w:rsid w:val="004B4C84"/>
    <w:pPr>
      <w:outlineLvl w:val="5"/>
    </w:pPr>
    <w:rPr>
      <w:bCs/>
      <w:iCs/>
    </w:rPr>
  </w:style>
  <w:style w:type="paragraph" w:customStyle="1" w:styleId="DSTOC5-6">
    <w:name w:val="DSTOC5-6"/>
    <w:basedOn w:val="DSTOC4-6"/>
    <w:rsid w:val="004B4C84"/>
  </w:style>
  <w:style w:type="paragraph" w:customStyle="1" w:styleId="DSTOC5-7">
    <w:name w:val="DSTOC5-7"/>
    <w:basedOn w:val="DSTOC4-7"/>
    <w:rsid w:val="004B4C84"/>
  </w:style>
  <w:style w:type="paragraph" w:customStyle="1" w:styleId="DSTOC5-8">
    <w:name w:val="DSTOC5-8"/>
    <w:basedOn w:val="DSTOC4-8"/>
    <w:rsid w:val="004B4C84"/>
  </w:style>
  <w:style w:type="paragraph" w:customStyle="1" w:styleId="DSTOC5-9">
    <w:name w:val="DSTOC5-9"/>
    <w:basedOn w:val="DSTOC4-9"/>
    <w:rsid w:val="004B4C84"/>
  </w:style>
  <w:style w:type="paragraph" w:customStyle="1" w:styleId="DSTOC6-6">
    <w:name w:val="DSTOC6-6"/>
    <w:basedOn w:val="Heading6"/>
    <w:rsid w:val="004B4C84"/>
    <w:pPr>
      <w:outlineLvl w:val="6"/>
    </w:pPr>
    <w:rPr>
      <w:bCs/>
    </w:rPr>
  </w:style>
  <w:style w:type="paragraph" w:customStyle="1" w:styleId="DSTOC6-7">
    <w:name w:val="DSTOC6-7"/>
    <w:basedOn w:val="DSTOC5-7"/>
    <w:rsid w:val="004B4C84"/>
  </w:style>
  <w:style w:type="paragraph" w:customStyle="1" w:styleId="DSTOC6-8">
    <w:name w:val="DSTOC6-8"/>
    <w:basedOn w:val="DSTOC5-8"/>
    <w:rsid w:val="004B4C84"/>
  </w:style>
  <w:style w:type="paragraph" w:customStyle="1" w:styleId="DSTOC6-9">
    <w:name w:val="DSTOC6-9"/>
    <w:basedOn w:val="DSTOC5-9"/>
    <w:rsid w:val="004B4C84"/>
  </w:style>
  <w:style w:type="paragraph" w:customStyle="1" w:styleId="DSTOC7-7">
    <w:name w:val="DSTOC7-7"/>
    <w:basedOn w:val="Heading7"/>
    <w:rsid w:val="004B4C84"/>
    <w:pPr>
      <w:outlineLvl w:val="7"/>
    </w:pPr>
  </w:style>
  <w:style w:type="paragraph" w:customStyle="1" w:styleId="DSTOC7-8">
    <w:name w:val="DSTOC7-8"/>
    <w:basedOn w:val="DSTOC6-8"/>
    <w:rsid w:val="004B4C84"/>
  </w:style>
  <w:style w:type="paragraph" w:customStyle="1" w:styleId="DSTOC7-9">
    <w:name w:val="DSTOC7-9"/>
    <w:basedOn w:val="DSTOC6-9"/>
    <w:rsid w:val="004B4C84"/>
  </w:style>
  <w:style w:type="paragraph" w:customStyle="1" w:styleId="DSTOC8-8">
    <w:name w:val="DSTOC8-8"/>
    <w:basedOn w:val="Heading8"/>
    <w:rsid w:val="004B4C84"/>
    <w:pPr>
      <w:outlineLvl w:val="8"/>
    </w:pPr>
  </w:style>
  <w:style w:type="paragraph" w:customStyle="1" w:styleId="DSTOC8-9">
    <w:name w:val="DSTOC8-9"/>
    <w:basedOn w:val="DSTOC7-9"/>
    <w:rsid w:val="004B4C84"/>
  </w:style>
  <w:style w:type="paragraph" w:customStyle="1" w:styleId="DSTOC9-9">
    <w:name w:val="DSTOC9-9"/>
    <w:basedOn w:val="Heading9"/>
    <w:rsid w:val="004B4C84"/>
    <w:pPr>
      <w:outlineLvl w:val="9"/>
    </w:pPr>
  </w:style>
  <w:style w:type="paragraph" w:customStyle="1" w:styleId="TableSpacing">
    <w:name w:val="Table Spacing"/>
    <w:aliases w:val="ts"/>
    <w:basedOn w:val="Normal"/>
    <w:next w:val="Normal"/>
    <w:rsid w:val="004B4C84"/>
    <w:pPr>
      <w:spacing w:before="80" w:after="80" w:line="240" w:lineRule="auto"/>
    </w:pPr>
    <w:rPr>
      <w:sz w:val="8"/>
      <w:szCs w:val="8"/>
    </w:rPr>
  </w:style>
  <w:style w:type="paragraph" w:customStyle="1" w:styleId="AlertLabel">
    <w:name w:val="Alert Label"/>
    <w:aliases w:val="al"/>
    <w:basedOn w:val="Normal"/>
    <w:rsid w:val="004B4C84"/>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4B4C84"/>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4B4C84"/>
    <w:pPr>
      <w:ind w:left="720"/>
    </w:pPr>
  </w:style>
  <w:style w:type="paragraph" w:customStyle="1" w:styleId="LabelinList1">
    <w:name w:val="Label in List 1"/>
    <w:aliases w:val="l1"/>
    <w:basedOn w:val="Label"/>
    <w:next w:val="TextinList1"/>
    <w:link w:val="LabelinList1Char"/>
    <w:rsid w:val="004B4C84"/>
    <w:pPr>
      <w:ind w:left="360"/>
    </w:pPr>
  </w:style>
  <w:style w:type="paragraph" w:customStyle="1" w:styleId="TextinList1">
    <w:name w:val="Text in List 1"/>
    <w:aliases w:val="t1"/>
    <w:basedOn w:val="Normal"/>
    <w:rsid w:val="004B4C84"/>
    <w:pPr>
      <w:ind w:left="360"/>
    </w:pPr>
  </w:style>
  <w:style w:type="paragraph" w:customStyle="1" w:styleId="AlertLabelinList1">
    <w:name w:val="Alert Label in List 1"/>
    <w:aliases w:val="al1"/>
    <w:basedOn w:val="AlertLabel"/>
    <w:rsid w:val="004B4C84"/>
    <w:pPr>
      <w:framePr w:wrap="notBeside"/>
      <w:ind w:left="360"/>
    </w:pPr>
  </w:style>
  <w:style w:type="paragraph" w:customStyle="1" w:styleId="FigureinList1">
    <w:name w:val="Figure in List 1"/>
    <w:aliases w:val="fig1"/>
    <w:basedOn w:val="Figure"/>
    <w:next w:val="TextinList1"/>
    <w:rsid w:val="004B4C84"/>
    <w:pPr>
      <w:ind w:left="360"/>
    </w:pPr>
  </w:style>
  <w:style w:type="paragraph" w:styleId="Footer">
    <w:name w:val="footer"/>
    <w:aliases w:val="f"/>
    <w:basedOn w:val="Header"/>
    <w:rsid w:val="004B4C84"/>
    <w:rPr>
      <w:b w:val="0"/>
    </w:rPr>
  </w:style>
  <w:style w:type="paragraph" w:styleId="Header">
    <w:name w:val="header"/>
    <w:aliases w:val="h"/>
    <w:basedOn w:val="Normal"/>
    <w:rsid w:val="004B4C84"/>
    <w:pPr>
      <w:spacing w:after="240"/>
      <w:jc w:val="right"/>
    </w:pPr>
    <w:rPr>
      <w:rFonts w:eastAsia="PMingLiU"/>
      <w:b/>
    </w:rPr>
  </w:style>
  <w:style w:type="paragraph" w:customStyle="1" w:styleId="AlertText">
    <w:name w:val="Alert Text"/>
    <w:aliases w:val="at"/>
    <w:basedOn w:val="Normal"/>
    <w:rsid w:val="004B4C84"/>
    <w:pPr>
      <w:ind w:left="360" w:right="360"/>
    </w:pPr>
  </w:style>
  <w:style w:type="paragraph" w:customStyle="1" w:styleId="AlertTextinList1">
    <w:name w:val="Alert Text in List 1"/>
    <w:aliases w:val="at1"/>
    <w:basedOn w:val="AlertText"/>
    <w:rsid w:val="004B4C84"/>
    <w:pPr>
      <w:ind w:left="720"/>
    </w:pPr>
  </w:style>
  <w:style w:type="paragraph" w:customStyle="1" w:styleId="AlertTextinList2">
    <w:name w:val="Alert Text in List 2"/>
    <w:aliases w:val="at2"/>
    <w:basedOn w:val="AlertText"/>
    <w:rsid w:val="004B4C84"/>
    <w:pPr>
      <w:ind w:left="1080"/>
    </w:pPr>
  </w:style>
  <w:style w:type="paragraph" w:customStyle="1" w:styleId="BulletedList1">
    <w:name w:val="Bulleted List 1"/>
    <w:aliases w:val="bl1"/>
    <w:basedOn w:val="ListBullet"/>
    <w:rsid w:val="004B4C84"/>
    <w:pPr>
      <w:numPr>
        <w:numId w:val="1"/>
      </w:numPr>
    </w:pPr>
  </w:style>
  <w:style w:type="paragraph" w:customStyle="1" w:styleId="BulletedList2">
    <w:name w:val="Bulleted List 2"/>
    <w:aliases w:val="bl2"/>
    <w:basedOn w:val="ListBullet"/>
    <w:link w:val="BulletedList2Char"/>
    <w:rsid w:val="004B4C84"/>
    <w:pPr>
      <w:numPr>
        <w:numId w:val="3"/>
      </w:numPr>
    </w:pPr>
  </w:style>
  <w:style w:type="paragraph" w:customStyle="1" w:styleId="DefinedTerm">
    <w:name w:val="Defined Term"/>
    <w:aliases w:val="dt"/>
    <w:basedOn w:val="Normal"/>
    <w:rsid w:val="004B4C84"/>
    <w:pPr>
      <w:keepNext/>
      <w:spacing w:before="120" w:after="0" w:line="220" w:lineRule="exact"/>
      <w:ind w:right="1440"/>
    </w:pPr>
    <w:rPr>
      <w:b/>
      <w:sz w:val="18"/>
      <w:szCs w:val="18"/>
    </w:rPr>
  </w:style>
  <w:style w:type="paragraph" w:styleId="DocumentMap">
    <w:name w:val="Document Map"/>
    <w:basedOn w:val="Normal"/>
    <w:rsid w:val="004B4C84"/>
    <w:pPr>
      <w:shd w:val="clear" w:color="auto" w:fill="FFFF00"/>
    </w:pPr>
    <w:rPr>
      <w:rFonts w:ascii="Tahoma" w:hAnsi="Tahoma" w:cs="Tahoma"/>
    </w:rPr>
  </w:style>
  <w:style w:type="paragraph" w:customStyle="1" w:styleId="NumberedList1">
    <w:name w:val="Numbered List 1"/>
    <w:aliases w:val="nl1"/>
    <w:basedOn w:val="ListNumber"/>
    <w:rsid w:val="004B4C84"/>
    <w:pPr>
      <w:numPr>
        <w:numId w:val="2"/>
      </w:numPr>
    </w:pPr>
  </w:style>
  <w:style w:type="table" w:customStyle="1" w:styleId="ProcedureTable">
    <w:name w:val="Procedure Table"/>
    <w:aliases w:val="pt"/>
    <w:basedOn w:val="TableNormal"/>
    <w:rsid w:val="004B4C84"/>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4B4C84"/>
    <w:rPr>
      <w:color w:val="auto"/>
      <w:szCs w:val="18"/>
      <w:u w:val="single"/>
    </w:rPr>
  </w:style>
  <w:style w:type="paragraph" w:styleId="IndexHeading">
    <w:name w:val="index heading"/>
    <w:aliases w:val="ih"/>
    <w:basedOn w:val="Heading1"/>
    <w:next w:val="Index1"/>
    <w:rsid w:val="004B4C84"/>
    <w:pPr>
      <w:spacing w:line="300" w:lineRule="exact"/>
      <w:outlineLvl w:val="7"/>
    </w:pPr>
    <w:rPr>
      <w:sz w:val="26"/>
    </w:rPr>
  </w:style>
  <w:style w:type="paragraph" w:styleId="Index1">
    <w:name w:val="index 1"/>
    <w:aliases w:val="idx1"/>
    <w:basedOn w:val="Normal"/>
    <w:rsid w:val="004B4C84"/>
    <w:pPr>
      <w:spacing w:line="220" w:lineRule="exact"/>
      <w:ind w:left="180" w:hanging="180"/>
    </w:pPr>
  </w:style>
  <w:style w:type="table" w:customStyle="1" w:styleId="CodeSection">
    <w:name w:val="Code Section"/>
    <w:aliases w:val="cs"/>
    <w:basedOn w:val="TableNormal"/>
    <w:rsid w:val="004B4C84"/>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4B4C84"/>
    <w:pPr>
      <w:spacing w:before="180" w:after="0"/>
      <w:ind w:left="187" w:hanging="187"/>
    </w:pPr>
  </w:style>
  <w:style w:type="paragraph" w:styleId="TOC2">
    <w:name w:val="toc 2"/>
    <w:aliases w:val="toc2"/>
    <w:basedOn w:val="Normal"/>
    <w:next w:val="Normal"/>
    <w:uiPriority w:val="39"/>
    <w:rsid w:val="004B4C84"/>
    <w:pPr>
      <w:spacing w:before="0" w:after="0"/>
      <w:ind w:left="374" w:hanging="187"/>
    </w:pPr>
  </w:style>
  <w:style w:type="paragraph" w:styleId="TOC3">
    <w:name w:val="toc 3"/>
    <w:aliases w:val="toc3"/>
    <w:basedOn w:val="Normal"/>
    <w:next w:val="Normal"/>
    <w:rsid w:val="004B4C84"/>
    <w:pPr>
      <w:spacing w:before="0" w:after="0"/>
      <w:ind w:left="561" w:hanging="187"/>
    </w:pPr>
  </w:style>
  <w:style w:type="paragraph" w:styleId="TOC4">
    <w:name w:val="toc 4"/>
    <w:aliases w:val="toc4"/>
    <w:basedOn w:val="Normal"/>
    <w:next w:val="Normal"/>
    <w:rsid w:val="004B4C84"/>
    <w:pPr>
      <w:spacing w:before="0" w:after="0"/>
      <w:ind w:left="749" w:hanging="187"/>
    </w:pPr>
  </w:style>
  <w:style w:type="paragraph" w:styleId="Index2">
    <w:name w:val="index 2"/>
    <w:aliases w:val="idx2"/>
    <w:basedOn w:val="Index1"/>
    <w:rsid w:val="004B4C84"/>
    <w:pPr>
      <w:ind w:left="540"/>
    </w:pPr>
  </w:style>
  <w:style w:type="paragraph" w:styleId="Index3">
    <w:name w:val="index 3"/>
    <w:aliases w:val="idx3"/>
    <w:basedOn w:val="Index1"/>
    <w:rsid w:val="004B4C84"/>
    <w:pPr>
      <w:ind w:left="900"/>
    </w:pPr>
  </w:style>
  <w:style w:type="character" w:customStyle="1" w:styleId="Bold">
    <w:name w:val="Bold"/>
    <w:aliases w:val="b"/>
    <w:basedOn w:val="DefaultParagraphFont"/>
    <w:rsid w:val="004B4C84"/>
    <w:rPr>
      <w:b/>
      <w:szCs w:val="18"/>
    </w:rPr>
  </w:style>
  <w:style w:type="character" w:customStyle="1" w:styleId="MultilanguageMarkerAuto">
    <w:name w:val="Multilanguage Marker Auto"/>
    <w:aliases w:val="mma"/>
    <w:basedOn w:val="DefaultParagraphFont"/>
    <w:locked/>
    <w:rsid w:val="004B4C84"/>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4B4C84"/>
    <w:rPr>
      <w:b/>
      <w:i/>
      <w:color w:val="auto"/>
      <w:szCs w:val="18"/>
    </w:rPr>
  </w:style>
  <w:style w:type="paragraph" w:customStyle="1" w:styleId="MultilanguageMarkerExplicitBegin">
    <w:name w:val="Multilanguage Marker Explicit Begin"/>
    <w:aliases w:val="mmeb"/>
    <w:basedOn w:val="Normal"/>
    <w:next w:val="Normal"/>
    <w:locked/>
    <w:rsid w:val="004B4C84"/>
    <w:rPr>
      <w:noProof/>
      <w:color w:val="C0C0C0"/>
    </w:rPr>
  </w:style>
  <w:style w:type="paragraph" w:customStyle="1" w:styleId="MultilanguageMarkerExplicitEnd">
    <w:name w:val="Multilanguage Marker Explicit End"/>
    <w:aliases w:val="mmee"/>
    <w:basedOn w:val="MultilanguageMarkerExplicitBegin"/>
    <w:next w:val="Normal"/>
    <w:locked/>
    <w:rsid w:val="004B4C84"/>
  </w:style>
  <w:style w:type="paragraph" w:customStyle="1" w:styleId="CodeReferenceinList1">
    <w:name w:val="Code Reference in List 1"/>
    <w:aliases w:val="cref1"/>
    <w:basedOn w:val="Normal"/>
    <w:locked/>
    <w:rsid w:val="004B4C84"/>
    <w:rPr>
      <w:color w:val="C0C0C0"/>
    </w:rPr>
  </w:style>
  <w:style w:type="character" w:styleId="CommentReference">
    <w:name w:val="annotation reference"/>
    <w:aliases w:val="cr,Used by Word to flag author queries"/>
    <w:basedOn w:val="DefaultParagraphFont"/>
    <w:rsid w:val="004B4C84"/>
    <w:rPr>
      <w:szCs w:val="16"/>
    </w:rPr>
  </w:style>
  <w:style w:type="paragraph" w:styleId="CommentText">
    <w:name w:val="annotation text"/>
    <w:aliases w:val="ct,Used by Word for text of author queries"/>
    <w:basedOn w:val="Normal"/>
    <w:rsid w:val="004B4C84"/>
  </w:style>
  <w:style w:type="character" w:customStyle="1" w:styleId="Italic">
    <w:name w:val="Italic"/>
    <w:aliases w:val="i"/>
    <w:basedOn w:val="DefaultParagraphFont"/>
    <w:rsid w:val="004B4C84"/>
    <w:rPr>
      <w:i/>
      <w:color w:val="auto"/>
      <w:szCs w:val="18"/>
    </w:rPr>
  </w:style>
  <w:style w:type="paragraph" w:customStyle="1" w:styleId="CodeReferenceinList2">
    <w:name w:val="Code Reference in List 2"/>
    <w:aliases w:val="cref2"/>
    <w:basedOn w:val="CodeReferenceinList1"/>
    <w:locked/>
    <w:rsid w:val="004B4C84"/>
    <w:pPr>
      <w:ind w:left="720"/>
    </w:pPr>
  </w:style>
  <w:style w:type="character" w:customStyle="1" w:styleId="Subscript">
    <w:name w:val="Subscript"/>
    <w:aliases w:val="sub"/>
    <w:basedOn w:val="DefaultParagraphFont"/>
    <w:rsid w:val="004B4C84"/>
    <w:rPr>
      <w:color w:val="auto"/>
      <w:szCs w:val="18"/>
      <w:u w:val="none"/>
      <w:vertAlign w:val="subscript"/>
    </w:rPr>
  </w:style>
  <w:style w:type="character" w:customStyle="1" w:styleId="Superscript">
    <w:name w:val="Superscript"/>
    <w:aliases w:val="sup"/>
    <w:basedOn w:val="DefaultParagraphFont"/>
    <w:rsid w:val="004B4C84"/>
    <w:rPr>
      <w:color w:val="auto"/>
      <w:szCs w:val="18"/>
      <w:u w:val="none"/>
      <w:vertAlign w:val="superscript"/>
    </w:rPr>
  </w:style>
  <w:style w:type="table" w:customStyle="1" w:styleId="TablewithHeader">
    <w:name w:val="Table with Header"/>
    <w:aliases w:val="twh"/>
    <w:basedOn w:val="TablewithoutHeader"/>
    <w:rsid w:val="004B4C84"/>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4B4C84"/>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4B4C84"/>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4B4C84"/>
    <w:rPr>
      <w:b/>
      <w:bCs/>
    </w:rPr>
  </w:style>
  <w:style w:type="paragraph" w:styleId="BalloonText">
    <w:name w:val="Balloon Text"/>
    <w:basedOn w:val="Normal"/>
    <w:rsid w:val="004B4C84"/>
    <w:rPr>
      <w:rFonts w:ascii="Tahoma" w:hAnsi="Tahoma" w:cs="Tahoma"/>
      <w:sz w:val="16"/>
      <w:szCs w:val="16"/>
    </w:rPr>
  </w:style>
  <w:style w:type="character" w:customStyle="1" w:styleId="UI">
    <w:name w:val="UI"/>
    <w:aliases w:val="ui"/>
    <w:basedOn w:val="DefaultParagraphFont"/>
    <w:rsid w:val="004B4C84"/>
    <w:rPr>
      <w:b/>
      <w:color w:val="auto"/>
      <w:szCs w:val="18"/>
      <w:u w:val="none"/>
    </w:rPr>
  </w:style>
  <w:style w:type="character" w:customStyle="1" w:styleId="ParameterReference">
    <w:name w:val="Parameter Reference"/>
    <w:aliases w:val="pr"/>
    <w:basedOn w:val="DefaultParagraphFont"/>
    <w:locked/>
    <w:rsid w:val="004B4C84"/>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4B4C84"/>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4B4C84"/>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4B4C84"/>
    <w:rPr>
      <w:u w:val="none"/>
    </w:rPr>
  </w:style>
  <w:style w:type="paragraph" w:customStyle="1" w:styleId="CodeReference">
    <w:name w:val="Code Reference"/>
    <w:aliases w:val="cref"/>
    <w:basedOn w:val="Normal"/>
    <w:next w:val="Normal"/>
    <w:locked/>
    <w:rsid w:val="004B4C84"/>
    <w:rPr>
      <w:noProof/>
      <w:color w:val="C0C0C0"/>
      <w:kern w:val="0"/>
    </w:rPr>
  </w:style>
  <w:style w:type="character" w:customStyle="1" w:styleId="LegacyLinkText">
    <w:name w:val="Legacy Link Text"/>
    <w:aliases w:val="llt"/>
    <w:basedOn w:val="LinkText"/>
    <w:rsid w:val="004B4C84"/>
  </w:style>
  <w:style w:type="paragraph" w:customStyle="1" w:styleId="DefinedTerminList1">
    <w:name w:val="Defined Term in List 1"/>
    <w:aliases w:val="dt1"/>
    <w:basedOn w:val="DefinedTerm"/>
    <w:rsid w:val="004B4C84"/>
    <w:pPr>
      <w:ind w:left="360"/>
    </w:pPr>
  </w:style>
  <w:style w:type="paragraph" w:customStyle="1" w:styleId="DefinedTerminList2">
    <w:name w:val="Defined Term in List 2"/>
    <w:aliases w:val="dt2"/>
    <w:basedOn w:val="DefinedTerm"/>
    <w:rsid w:val="004B4C84"/>
    <w:pPr>
      <w:ind w:left="720"/>
    </w:pPr>
  </w:style>
  <w:style w:type="paragraph" w:customStyle="1" w:styleId="TableSpacinginList1">
    <w:name w:val="Table Spacing in List 1"/>
    <w:aliases w:val="ts1"/>
    <w:basedOn w:val="TableSpacing"/>
    <w:next w:val="TextinList1"/>
    <w:rsid w:val="004B4C84"/>
    <w:pPr>
      <w:ind w:left="360"/>
    </w:pPr>
  </w:style>
  <w:style w:type="paragraph" w:customStyle="1" w:styleId="TableSpacinginList2">
    <w:name w:val="Table Spacing in List 2"/>
    <w:aliases w:val="ts2"/>
    <w:basedOn w:val="TableSpacinginList1"/>
    <w:next w:val="TextinList2"/>
    <w:rsid w:val="004B4C84"/>
    <w:pPr>
      <w:ind w:left="720"/>
    </w:pPr>
  </w:style>
  <w:style w:type="table" w:customStyle="1" w:styleId="ProcedureTableinList1">
    <w:name w:val="Procedure Table in List 1"/>
    <w:aliases w:val="pt1"/>
    <w:basedOn w:val="ProcedureTable"/>
    <w:rsid w:val="004B4C84"/>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4B4C84"/>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4B4C84"/>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4B4C84"/>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4B4C84"/>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4B4C84"/>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4B4C84"/>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4B4C84"/>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4B4C84"/>
  </w:style>
  <w:style w:type="paragraph" w:customStyle="1" w:styleId="ConditionalBlockinList2">
    <w:name w:val="Conditional Block in List 2"/>
    <w:aliases w:val="cb2"/>
    <w:basedOn w:val="ConditionalBlock"/>
    <w:next w:val="Normal"/>
    <w:locked/>
    <w:rsid w:val="004B4C84"/>
    <w:pPr>
      <w:ind w:left="720"/>
    </w:pPr>
  </w:style>
  <w:style w:type="character" w:customStyle="1" w:styleId="CodeFeaturedElement">
    <w:name w:val="Code Featured Element"/>
    <w:aliases w:val="cfe"/>
    <w:basedOn w:val="DefaultParagraphFont"/>
    <w:locked/>
    <w:rsid w:val="004B4C84"/>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4B4C84"/>
    <w:rPr>
      <w:color w:val="C0C0C0"/>
    </w:rPr>
  </w:style>
  <w:style w:type="character" w:customStyle="1" w:styleId="CodeEntityReferenceSpecific">
    <w:name w:val="Code Entity Reference Specific"/>
    <w:aliases w:val="cers"/>
    <w:basedOn w:val="CodeEntityReference"/>
    <w:locked/>
    <w:rsid w:val="004B4C84"/>
  </w:style>
  <w:style w:type="character" w:customStyle="1" w:styleId="CodeEntityReferenceQualifiedSpecific">
    <w:name w:val="Code Entity Reference Qualified Specific"/>
    <w:aliases w:val="cerqs"/>
    <w:basedOn w:val="CodeEntityReference"/>
    <w:locked/>
    <w:rsid w:val="004B4C84"/>
    <w:rPr>
      <w:u w:val="none"/>
    </w:rPr>
  </w:style>
  <w:style w:type="table" w:customStyle="1" w:styleId="CodeSectioninList1">
    <w:name w:val="Code Section in List 1"/>
    <w:aliases w:val="cs1"/>
    <w:basedOn w:val="CodeSection"/>
    <w:rsid w:val="004B4C84"/>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4B4C84"/>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4B4C84"/>
    <w:pPr>
      <w:numPr>
        <w:numId w:val="17"/>
      </w:numPr>
    </w:pPr>
  </w:style>
  <w:style w:type="paragraph" w:styleId="BlockText">
    <w:name w:val="Block Text"/>
    <w:basedOn w:val="Normal"/>
    <w:rsid w:val="004B4C84"/>
    <w:pPr>
      <w:spacing w:after="120"/>
      <w:ind w:left="1440" w:right="1440"/>
    </w:pPr>
  </w:style>
  <w:style w:type="paragraph" w:styleId="BodyText">
    <w:name w:val="Body Text"/>
    <w:basedOn w:val="Normal"/>
    <w:rsid w:val="004B4C84"/>
    <w:pPr>
      <w:spacing w:after="120"/>
    </w:pPr>
  </w:style>
  <w:style w:type="paragraph" w:styleId="BodyText2">
    <w:name w:val="Body Text 2"/>
    <w:basedOn w:val="Normal"/>
    <w:rsid w:val="004B4C84"/>
    <w:pPr>
      <w:spacing w:after="120" w:line="480" w:lineRule="auto"/>
    </w:pPr>
  </w:style>
  <w:style w:type="paragraph" w:styleId="BodyText3">
    <w:name w:val="Body Text 3"/>
    <w:basedOn w:val="Normal"/>
    <w:rsid w:val="004B4C84"/>
    <w:pPr>
      <w:spacing w:after="120"/>
    </w:pPr>
    <w:rPr>
      <w:sz w:val="16"/>
      <w:szCs w:val="16"/>
    </w:rPr>
  </w:style>
  <w:style w:type="paragraph" w:styleId="BodyTextFirstIndent">
    <w:name w:val="Body Text First Indent"/>
    <w:basedOn w:val="BodyText"/>
    <w:rsid w:val="004B4C84"/>
    <w:pPr>
      <w:ind w:firstLine="210"/>
    </w:pPr>
  </w:style>
  <w:style w:type="paragraph" w:styleId="BodyTextIndent">
    <w:name w:val="Body Text Indent"/>
    <w:basedOn w:val="Normal"/>
    <w:rsid w:val="004B4C84"/>
    <w:pPr>
      <w:spacing w:after="120"/>
      <w:ind w:left="360"/>
    </w:pPr>
  </w:style>
  <w:style w:type="paragraph" w:styleId="BodyTextFirstIndent2">
    <w:name w:val="Body Text First Indent 2"/>
    <w:basedOn w:val="BodyTextIndent"/>
    <w:rsid w:val="004B4C84"/>
    <w:pPr>
      <w:ind w:firstLine="210"/>
    </w:pPr>
  </w:style>
  <w:style w:type="paragraph" w:styleId="BodyTextIndent2">
    <w:name w:val="Body Text Indent 2"/>
    <w:basedOn w:val="Normal"/>
    <w:rsid w:val="004B4C84"/>
    <w:pPr>
      <w:spacing w:after="120" w:line="480" w:lineRule="auto"/>
      <w:ind w:left="360"/>
    </w:pPr>
  </w:style>
  <w:style w:type="paragraph" w:styleId="BodyTextIndent3">
    <w:name w:val="Body Text Indent 3"/>
    <w:basedOn w:val="Normal"/>
    <w:rsid w:val="004B4C84"/>
    <w:pPr>
      <w:spacing w:after="120"/>
      <w:ind w:left="360"/>
    </w:pPr>
    <w:rPr>
      <w:sz w:val="16"/>
      <w:szCs w:val="16"/>
    </w:rPr>
  </w:style>
  <w:style w:type="paragraph" w:styleId="Closing">
    <w:name w:val="Closing"/>
    <w:basedOn w:val="Normal"/>
    <w:rsid w:val="004B4C84"/>
    <w:pPr>
      <w:ind w:left="4320"/>
    </w:pPr>
  </w:style>
  <w:style w:type="paragraph" w:styleId="Date">
    <w:name w:val="Date"/>
    <w:basedOn w:val="Normal"/>
    <w:next w:val="Normal"/>
    <w:rsid w:val="004B4C84"/>
  </w:style>
  <w:style w:type="paragraph" w:styleId="E-mailSignature">
    <w:name w:val="E-mail Signature"/>
    <w:basedOn w:val="Normal"/>
    <w:rsid w:val="004B4C84"/>
  </w:style>
  <w:style w:type="character" w:styleId="Emphasis">
    <w:name w:val="Emphasis"/>
    <w:basedOn w:val="DefaultParagraphFont"/>
    <w:qFormat/>
    <w:rsid w:val="004B4C84"/>
    <w:rPr>
      <w:i/>
      <w:iCs/>
    </w:rPr>
  </w:style>
  <w:style w:type="paragraph" w:styleId="EnvelopeAddress">
    <w:name w:val="envelope address"/>
    <w:basedOn w:val="Normal"/>
    <w:rsid w:val="004B4C84"/>
    <w:pPr>
      <w:framePr w:w="7920" w:h="1980" w:hRule="exact" w:hSpace="180" w:wrap="auto" w:hAnchor="page" w:xAlign="center" w:yAlign="bottom"/>
      <w:ind w:left="2880"/>
    </w:pPr>
    <w:rPr>
      <w:sz w:val="24"/>
      <w:szCs w:val="24"/>
    </w:rPr>
  </w:style>
  <w:style w:type="paragraph" w:styleId="EnvelopeReturn">
    <w:name w:val="envelope return"/>
    <w:basedOn w:val="Normal"/>
    <w:rsid w:val="004B4C84"/>
  </w:style>
  <w:style w:type="character" w:styleId="FollowedHyperlink">
    <w:name w:val="FollowedHyperlink"/>
    <w:basedOn w:val="DefaultParagraphFont"/>
    <w:rsid w:val="004B4C84"/>
    <w:rPr>
      <w:color w:val="800080"/>
      <w:u w:val="single"/>
    </w:rPr>
  </w:style>
  <w:style w:type="character" w:styleId="HTMLAcronym">
    <w:name w:val="HTML Acronym"/>
    <w:basedOn w:val="DefaultParagraphFont"/>
    <w:rsid w:val="004B4C84"/>
  </w:style>
  <w:style w:type="paragraph" w:styleId="HTMLAddress">
    <w:name w:val="HTML Address"/>
    <w:basedOn w:val="Normal"/>
    <w:rsid w:val="004B4C84"/>
    <w:rPr>
      <w:i/>
      <w:iCs/>
    </w:rPr>
  </w:style>
  <w:style w:type="character" w:styleId="HTMLCite">
    <w:name w:val="HTML Cite"/>
    <w:basedOn w:val="DefaultParagraphFont"/>
    <w:rsid w:val="004B4C84"/>
    <w:rPr>
      <w:i/>
      <w:iCs/>
    </w:rPr>
  </w:style>
  <w:style w:type="character" w:styleId="HTMLCode">
    <w:name w:val="HTML Code"/>
    <w:basedOn w:val="DefaultParagraphFont"/>
    <w:rsid w:val="004B4C84"/>
    <w:rPr>
      <w:rFonts w:ascii="Courier New" w:hAnsi="Courier New"/>
      <w:sz w:val="20"/>
      <w:szCs w:val="20"/>
    </w:rPr>
  </w:style>
  <w:style w:type="character" w:styleId="HTMLDefinition">
    <w:name w:val="HTML Definition"/>
    <w:basedOn w:val="DefaultParagraphFont"/>
    <w:rsid w:val="004B4C84"/>
    <w:rPr>
      <w:i/>
      <w:iCs/>
    </w:rPr>
  </w:style>
  <w:style w:type="character" w:styleId="HTMLKeyboard">
    <w:name w:val="HTML Keyboard"/>
    <w:basedOn w:val="DefaultParagraphFont"/>
    <w:rsid w:val="004B4C84"/>
    <w:rPr>
      <w:rFonts w:ascii="Courier New" w:hAnsi="Courier New"/>
      <w:sz w:val="20"/>
      <w:szCs w:val="20"/>
    </w:rPr>
  </w:style>
  <w:style w:type="paragraph" w:styleId="HTMLPreformatted">
    <w:name w:val="HTML Preformatted"/>
    <w:basedOn w:val="Normal"/>
    <w:rsid w:val="004B4C84"/>
    <w:rPr>
      <w:rFonts w:ascii="Courier New" w:hAnsi="Courier New"/>
    </w:rPr>
  </w:style>
  <w:style w:type="character" w:styleId="HTMLSample">
    <w:name w:val="HTML Sample"/>
    <w:basedOn w:val="DefaultParagraphFont"/>
    <w:rsid w:val="004B4C84"/>
    <w:rPr>
      <w:rFonts w:ascii="Courier New" w:hAnsi="Courier New"/>
    </w:rPr>
  </w:style>
  <w:style w:type="character" w:styleId="HTMLTypewriter">
    <w:name w:val="HTML Typewriter"/>
    <w:basedOn w:val="DefaultParagraphFont"/>
    <w:rsid w:val="004B4C84"/>
    <w:rPr>
      <w:rFonts w:ascii="Courier New" w:hAnsi="Courier New"/>
      <w:sz w:val="20"/>
      <w:szCs w:val="20"/>
    </w:rPr>
  </w:style>
  <w:style w:type="character" w:styleId="HTMLVariable">
    <w:name w:val="HTML Variable"/>
    <w:basedOn w:val="DefaultParagraphFont"/>
    <w:rsid w:val="004B4C84"/>
    <w:rPr>
      <w:i/>
      <w:iCs/>
    </w:rPr>
  </w:style>
  <w:style w:type="character" w:styleId="LineNumber">
    <w:name w:val="line number"/>
    <w:basedOn w:val="DefaultParagraphFont"/>
    <w:rsid w:val="004B4C84"/>
  </w:style>
  <w:style w:type="paragraph" w:styleId="List">
    <w:name w:val="List"/>
    <w:basedOn w:val="Normal"/>
    <w:rsid w:val="004B4C84"/>
    <w:pPr>
      <w:ind w:left="360" w:hanging="360"/>
    </w:pPr>
  </w:style>
  <w:style w:type="paragraph" w:styleId="List2">
    <w:name w:val="List 2"/>
    <w:basedOn w:val="Normal"/>
    <w:rsid w:val="004B4C84"/>
    <w:pPr>
      <w:ind w:left="720" w:hanging="360"/>
    </w:pPr>
  </w:style>
  <w:style w:type="paragraph" w:styleId="List3">
    <w:name w:val="List 3"/>
    <w:basedOn w:val="Normal"/>
    <w:rsid w:val="004B4C84"/>
    <w:pPr>
      <w:ind w:left="1080" w:hanging="360"/>
    </w:pPr>
  </w:style>
  <w:style w:type="paragraph" w:styleId="List4">
    <w:name w:val="List 4"/>
    <w:basedOn w:val="Normal"/>
    <w:rsid w:val="004B4C84"/>
    <w:pPr>
      <w:ind w:left="1440" w:hanging="360"/>
    </w:pPr>
  </w:style>
  <w:style w:type="paragraph" w:styleId="List5">
    <w:name w:val="List 5"/>
    <w:basedOn w:val="Normal"/>
    <w:rsid w:val="004B4C84"/>
    <w:pPr>
      <w:ind w:left="1800" w:hanging="360"/>
    </w:pPr>
  </w:style>
  <w:style w:type="paragraph" w:styleId="ListBullet">
    <w:name w:val="List Bullet"/>
    <w:basedOn w:val="Normal"/>
    <w:link w:val="ListBulletChar"/>
    <w:rsid w:val="004B4C84"/>
    <w:pPr>
      <w:tabs>
        <w:tab w:val="num" w:pos="360"/>
      </w:tabs>
      <w:ind w:left="360" w:hanging="360"/>
    </w:pPr>
  </w:style>
  <w:style w:type="paragraph" w:styleId="ListBullet2">
    <w:name w:val="List Bullet 2"/>
    <w:basedOn w:val="Normal"/>
    <w:rsid w:val="004B4C84"/>
    <w:pPr>
      <w:tabs>
        <w:tab w:val="num" w:pos="720"/>
      </w:tabs>
      <w:ind w:left="720" w:hanging="360"/>
    </w:pPr>
  </w:style>
  <w:style w:type="paragraph" w:styleId="ListBullet3">
    <w:name w:val="List Bullet 3"/>
    <w:basedOn w:val="Normal"/>
    <w:rsid w:val="004B4C84"/>
    <w:pPr>
      <w:tabs>
        <w:tab w:val="num" w:pos="1080"/>
      </w:tabs>
      <w:ind w:left="1080" w:hanging="360"/>
    </w:pPr>
  </w:style>
  <w:style w:type="paragraph" w:styleId="ListBullet4">
    <w:name w:val="List Bullet 4"/>
    <w:basedOn w:val="Normal"/>
    <w:rsid w:val="004B4C84"/>
    <w:pPr>
      <w:tabs>
        <w:tab w:val="num" w:pos="1440"/>
      </w:tabs>
      <w:ind w:left="1440" w:hanging="360"/>
    </w:pPr>
  </w:style>
  <w:style w:type="paragraph" w:styleId="ListBullet5">
    <w:name w:val="List Bullet 5"/>
    <w:basedOn w:val="Normal"/>
    <w:rsid w:val="004B4C84"/>
    <w:pPr>
      <w:tabs>
        <w:tab w:val="num" w:pos="1800"/>
      </w:tabs>
      <w:ind w:left="1800" w:hanging="360"/>
    </w:pPr>
  </w:style>
  <w:style w:type="paragraph" w:styleId="ListContinue">
    <w:name w:val="List Continue"/>
    <w:basedOn w:val="Normal"/>
    <w:rsid w:val="004B4C84"/>
    <w:pPr>
      <w:spacing w:after="120"/>
      <w:ind w:left="360"/>
    </w:pPr>
  </w:style>
  <w:style w:type="paragraph" w:styleId="ListContinue2">
    <w:name w:val="List Continue 2"/>
    <w:basedOn w:val="Normal"/>
    <w:rsid w:val="004B4C84"/>
    <w:pPr>
      <w:spacing w:after="120"/>
      <w:ind w:left="720"/>
    </w:pPr>
  </w:style>
  <w:style w:type="paragraph" w:styleId="ListContinue3">
    <w:name w:val="List Continue 3"/>
    <w:basedOn w:val="Normal"/>
    <w:rsid w:val="004B4C84"/>
    <w:pPr>
      <w:spacing w:after="120"/>
      <w:ind w:left="1080"/>
    </w:pPr>
  </w:style>
  <w:style w:type="paragraph" w:styleId="ListContinue4">
    <w:name w:val="List Continue 4"/>
    <w:basedOn w:val="Normal"/>
    <w:rsid w:val="004B4C84"/>
    <w:pPr>
      <w:spacing w:after="120"/>
      <w:ind w:left="1440"/>
    </w:pPr>
  </w:style>
  <w:style w:type="paragraph" w:styleId="ListContinue5">
    <w:name w:val="List Continue 5"/>
    <w:basedOn w:val="Normal"/>
    <w:rsid w:val="004B4C84"/>
    <w:pPr>
      <w:spacing w:after="120"/>
      <w:ind w:left="1800"/>
    </w:pPr>
  </w:style>
  <w:style w:type="paragraph" w:styleId="ListNumber">
    <w:name w:val="List Number"/>
    <w:basedOn w:val="Normal"/>
    <w:rsid w:val="004B4C84"/>
    <w:pPr>
      <w:tabs>
        <w:tab w:val="num" w:pos="360"/>
      </w:tabs>
      <w:ind w:left="360" w:hanging="360"/>
    </w:pPr>
  </w:style>
  <w:style w:type="paragraph" w:styleId="ListNumber2">
    <w:name w:val="List Number 2"/>
    <w:basedOn w:val="Normal"/>
    <w:rsid w:val="004B4C84"/>
    <w:pPr>
      <w:tabs>
        <w:tab w:val="num" w:pos="720"/>
      </w:tabs>
      <w:ind w:left="720" w:hanging="360"/>
    </w:pPr>
  </w:style>
  <w:style w:type="paragraph" w:styleId="ListNumber3">
    <w:name w:val="List Number 3"/>
    <w:basedOn w:val="Normal"/>
    <w:rsid w:val="004B4C84"/>
    <w:pPr>
      <w:tabs>
        <w:tab w:val="num" w:pos="1080"/>
      </w:tabs>
      <w:ind w:left="1080" w:hanging="360"/>
    </w:pPr>
  </w:style>
  <w:style w:type="paragraph" w:styleId="ListNumber4">
    <w:name w:val="List Number 4"/>
    <w:basedOn w:val="Normal"/>
    <w:rsid w:val="004B4C84"/>
    <w:pPr>
      <w:tabs>
        <w:tab w:val="num" w:pos="1440"/>
      </w:tabs>
      <w:ind w:left="1440" w:hanging="360"/>
    </w:pPr>
  </w:style>
  <w:style w:type="paragraph" w:styleId="ListNumber5">
    <w:name w:val="List Number 5"/>
    <w:basedOn w:val="Normal"/>
    <w:rsid w:val="004B4C84"/>
    <w:pPr>
      <w:tabs>
        <w:tab w:val="num" w:pos="1800"/>
      </w:tabs>
      <w:ind w:left="1800" w:hanging="360"/>
    </w:pPr>
  </w:style>
  <w:style w:type="paragraph" w:styleId="MessageHeader">
    <w:name w:val="Message Header"/>
    <w:basedOn w:val="Normal"/>
    <w:rsid w:val="004B4C84"/>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4B4C84"/>
    <w:rPr>
      <w:rFonts w:ascii="Times New Roman" w:hAnsi="Times New Roman"/>
      <w:szCs w:val="24"/>
    </w:rPr>
  </w:style>
  <w:style w:type="paragraph" w:styleId="NormalIndent">
    <w:name w:val="Normal Indent"/>
    <w:basedOn w:val="Normal"/>
    <w:rsid w:val="004B4C84"/>
    <w:pPr>
      <w:ind w:left="720"/>
    </w:pPr>
  </w:style>
  <w:style w:type="paragraph" w:styleId="NoteHeading">
    <w:name w:val="Note Heading"/>
    <w:basedOn w:val="Normal"/>
    <w:next w:val="Normal"/>
    <w:rsid w:val="004B4C84"/>
  </w:style>
  <w:style w:type="paragraph" w:styleId="PlainText">
    <w:name w:val="Plain Text"/>
    <w:basedOn w:val="Normal"/>
    <w:rsid w:val="004B4C84"/>
    <w:rPr>
      <w:rFonts w:ascii="Courier New" w:hAnsi="Courier New"/>
    </w:rPr>
  </w:style>
  <w:style w:type="paragraph" w:styleId="Salutation">
    <w:name w:val="Salutation"/>
    <w:basedOn w:val="Normal"/>
    <w:next w:val="Normal"/>
    <w:rsid w:val="004B4C84"/>
  </w:style>
  <w:style w:type="paragraph" w:styleId="Signature">
    <w:name w:val="Signature"/>
    <w:basedOn w:val="Normal"/>
    <w:rsid w:val="004B4C84"/>
    <w:pPr>
      <w:ind w:left="4320"/>
    </w:pPr>
  </w:style>
  <w:style w:type="character" w:styleId="Strong">
    <w:name w:val="Strong"/>
    <w:basedOn w:val="DefaultParagraphFont"/>
    <w:qFormat/>
    <w:rsid w:val="004B4C84"/>
    <w:rPr>
      <w:b/>
      <w:bCs/>
    </w:rPr>
  </w:style>
  <w:style w:type="table" w:styleId="Table3Deffects1">
    <w:name w:val="Table 3D effects 1"/>
    <w:basedOn w:val="TableNormal"/>
    <w:rsid w:val="004B4C84"/>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B4C84"/>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B4C84"/>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B4C84"/>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B4C84"/>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B4C84"/>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B4C84"/>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B4C84"/>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B4C84"/>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B4C84"/>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B4C84"/>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B4C84"/>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B4C84"/>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B4C84"/>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B4C84"/>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B4C84"/>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B4C84"/>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B4C84"/>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B4C84"/>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B4C84"/>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B4C84"/>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B4C84"/>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B4C8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B4C8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B4C84"/>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B4C84"/>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B4C84"/>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B4C84"/>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B4C84"/>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B4C8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B4C84"/>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B4C84"/>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B4C84"/>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B4C84"/>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B4C84"/>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B4C84"/>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B4C84"/>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B4C8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B4C84"/>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B4C84"/>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B4C84"/>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B4C84"/>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B4C84"/>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B4C84"/>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4B4C84"/>
    <w:pPr>
      <w:jc w:val="center"/>
      <w:outlineLvl w:val="1"/>
    </w:pPr>
    <w:rPr>
      <w:sz w:val="24"/>
      <w:szCs w:val="24"/>
    </w:rPr>
  </w:style>
  <w:style w:type="paragraph" w:styleId="Title">
    <w:name w:val="Title"/>
    <w:basedOn w:val="Normal"/>
    <w:qFormat/>
    <w:rsid w:val="004B4C84"/>
    <w:pPr>
      <w:spacing w:before="240"/>
      <w:jc w:val="center"/>
      <w:outlineLvl w:val="0"/>
    </w:pPr>
    <w:rPr>
      <w:b/>
      <w:bCs/>
      <w:kern w:val="28"/>
      <w:sz w:val="32"/>
      <w:szCs w:val="32"/>
    </w:rPr>
  </w:style>
  <w:style w:type="character" w:customStyle="1" w:styleId="System">
    <w:name w:val="System"/>
    <w:aliases w:val="sys"/>
    <w:basedOn w:val="DefaultParagraphFont"/>
    <w:locked/>
    <w:rsid w:val="004B4C84"/>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4B4C84"/>
    <w:rPr>
      <w:b/>
      <w:color w:val="auto"/>
      <w:szCs w:val="18"/>
      <w:u w:val="none"/>
    </w:rPr>
  </w:style>
  <w:style w:type="character" w:customStyle="1" w:styleId="UnmanagedCodeEntityReference">
    <w:name w:val="Unmanaged Code Entity Reference"/>
    <w:aliases w:val="ucer"/>
    <w:basedOn w:val="DefaultParagraphFont"/>
    <w:locked/>
    <w:rsid w:val="004B4C84"/>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4B4C84"/>
    <w:rPr>
      <w:b/>
      <w:szCs w:val="18"/>
    </w:rPr>
  </w:style>
  <w:style w:type="character" w:customStyle="1" w:styleId="Placeholder">
    <w:name w:val="Placeholder"/>
    <w:aliases w:val="ph"/>
    <w:basedOn w:val="DefaultParagraphFont"/>
    <w:rsid w:val="004B4C84"/>
    <w:rPr>
      <w:i/>
      <w:color w:val="auto"/>
      <w:szCs w:val="18"/>
      <w:u w:val="none"/>
    </w:rPr>
  </w:style>
  <w:style w:type="character" w:customStyle="1" w:styleId="Math">
    <w:name w:val="Math"/>
    <w:aliases w:val="m"/>
    <w:basedOn w:val="DefaultParagraphFont"/>
    <w:locked/>
    <w:rsid w:val="004B4C84"/>
    <w:rPr>
      <w:color w:val="C0C0C0"/>
      <w:szCs w:val="18"/>
      <w:u w:val="none"/>
      <w:bdr w:val="none" w:sz="0" w:space="0" w:color="auto"/>
      <w:shd w:val="clear" w:color="auto" w:fill="auto"/>
    </w:rPr>
  </w:style>
  <w:style w:type="character" w:customStyle="1" w:styleId="NewTerm">
    <w:name w:val="New Term"/>
    <w:aliases w:val="nt"/>
    <w:basedOn w:val="DefaultParagraphFont"/>
    <w:locked/>
    <w:rsid w:val="004B4C84"/>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4B4C84"/>
    <w:rPr>
      <w:color w:val="C0C0C0"/>
    </w:rPr>
  </w:style>
  <w:style w:type="paragraph" w:customStyle="1" w:styleId="BulletedDynamicLinkinList2">
    <w:name w:val="Bulleted Dynamic Link in List 2"/>
    <w:basedOn w:val="Normal"/>
    <w:locked/>
    <w:rsid w:val="004B4C84"/>
    <w:rPr>
      <w:color w:val="C0C0C0"/>
    </w:rPr>
  </w:style>
  <w:style w:type="paragraph" w:customStyle="1" w:styleId="BulletedDynamicLink">
    <w:name w:val="Bulleted Dynamic Link"/>
    <w:basedOn w:val="Normal"/>
    <w:locked/>
    <w:rsid w:val="004B4C84"/>
    <w:rPr>
      <w:color w:val="C0C0C0"/>
    </w:rPr>
  </w:style>
  <w:style w:type="character" w:customStyle="1" w:styleId="Heading6Char">
    <w:name w:val="Heading 6 Char"/>
    <w:aliases w:val="h6 Char"/>
    <w:basedOn w:val="DefaultParagraphFont"/>
    <w:link w:val="Heading6"/>
    <w:rsid w:val="004B4C84"/>
    <w:rPr>
      <w:rFonts w:ascii="Arial" w:eastAsia="SimSun" w:hAnsi="Arial"/>
      <w:b/>
      <w:kern w:val="24"/>
    </w:rPr>
  </w:style>
  <w:style w:type="character" w:customStyle="1" w:styleId="LabelChar">
    <w:name w:val="Label Char"/>
    <w:aliases w:val="l Char"/>
    <w:basedOn w:val="DefaultParagraphFont"/>
    <w:link w:val="Label"/>
    <w:rsid w:val="004B4C84"/>
    <w:rPr>
      <w:rFonts w:ascii="Arial" w:eastAsia="SimSun" w:hAnsi="Arial"/>
      <w:b/>
      <w:kern w:val="24"/>
    </w:rPr>
  </w:style>
  <w:style w:type="character" w:customStyle="1" w:styleId="Heading5Char">
    <w:name w:val="Heading 5 Char"/>
    <w:aliases w:val="h5 Char"/>
    <w:basedOn w:val="LabelChar"/>
    <w:link w:val="Heading5"/>
    <w:rsid w:val="004B4C84"/>
    <w:rPr>
      <w:rFonts w:eastAsia="SimSun"/>
      <w:b/>
      <w:szCs w:val="40"/>
    </w:rPr>
  </w:style>
  <w:style w:type="character" w:customStyle="1" w:styleId="Heading1Char">
    <w:name w:val="Heading 1 Char"/>
    <w:aliases w:val="h1 Char"/>
    <w:basedOn w:val="DefaultParagraphFont"/>
    <w:link w:val="Heading1"/>
    <w:rsid w:val="004B4C84"/>
    <w:rPr>
      <w:rFonts w:ascii="Arial" w:eastAsia="SimSun" w:hAnsi="Arial"/>
      <w:b/>
      <w:kern w:val="24"/>
      <w:sz w:val="40"/>
      <w:szCs w:val="40"/>
    </w:rPr>
  </w:style>
  <w:style w:type="character" w:customStyle="1" w:styleId="LabelinList1Char">
    <w:name w:val="Label in List 1 Char"/>
    <w:aliases w:val="l1 Char"/>
    <w:basedOn w:val="LabelChar"/>
    <w:link w:val="LabelinList1"/>
    <w:rsid w:val="004B4C84"/>
  </w:style>
  <w:style w:type="paragraph" w:customStyle="1" w:styleId="Strikethrough">
    <w:name w:val="Strikethrough"/>
    <w:aliases w:val="strike"/>
    <w:basedOn w:val="Normal"/>
    <w:rsid w:val="004B4C84"/>
    <w:rPr>
      <w:strike/>
    </w:rPr>
  </w:style>
  <w:style w:type="paragraph" w:customStyle="1" w:styleId="TableFootnote">
    <w:name w:val="Table Footnote"/>
    <w:aliases w:val="tf"/>
    <w:basedOn w:val="Normal"/>
    <w:rsid w:val="004B4C84"/>
    <w:pPr>
      <w:spacing w:before="80" w:after="80"/>
      <w:ind w:left="216" w:hanging="216"/>
    </w:pPr>
  </w:style>
  <w:style w:type="paragraph" w:customStyle="1" w:styleId="TableFootnoteinList1">
    <w:name w:val="Table Footnote in List 1"/>
    <w:aliases w:val="tf1"/>
    <w:basedOn w:val="TableFootnote"/>
    <w:rsid w:val="004B4C84"/>
    <w:pPr>
      <w:ind w:left="576"/>
    </w:pPr>
  </w:style>
  <w:style w:type="paragraph" w:customStyle="1" w:styleId="TableFootnoteinList2">
    <w:name w:val="Table Footnote in List 2"/>
    <w:aliases w:val="tf2"/>
    <w:basedOn w:val="TableFootnote"/>
    <w:rsid w:val="004B4C84"/>
    <w:pPr>
      <w:ind w:left="936"/>
    </w:pPr>
  </w:style>
  <w:style w:type="character" w:customStyle="1" w:styleId="DynamicLink">
    <w:name w:val="Dynamic Link"/>
    <w:aliases w:val="dl"/>
    <w:basedOn w:val="DefaultParagraphFont"/>
    <w:locked/>
    <w:rsid w:val="004B4C84"/>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4B4C84"/>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4B4C84"/>
    <w:rPr>
      <w:color w:val="C0C0C0"/>
    </w:rPr>
  </w:style>
  <w:style w:type="paragraph" w:customStyle="1" w:styleId="PrintDivisionNumber">
    <w:name w:val="Print Division Number"/>
    <w:aliases w:val="pdn"/>
    <w:basedOn w:val="Normal"/>
    <w:locked/>
    <w:rsid w:val="004B4C84"/>
    <w:pPr>
      <w:spacing w:before="0" w:after="0" w:line="240" w:lineRule="auto"/>
    </w:pPr>
    <w:rPr>
      <w:color w:val="C0C0C0"/>
    </w:rPr>
  </w:style>
  <w:style w:type="paragraph" w:customStyle="1" w:styleId="PrintDivisionTitle">
    <w:name w:val="Print Division Title"/>
    <w:aliases w:val="pdt"/>
    <w:basedOn w:val="Normal"/>
    <w:locked/>
    <w:rsid w:val="004B4C84"/>
    <w:pPr>
      <w:spacing w:before="0" w:after="0" w:line="240" w:lineRule="auto"/>
    </w:pPr>
    <w:rPr>
      <w:color w:val="C0C0C0"/>
    </w:rPr>
  </w:style>
  <w:style w:type="paragraph" w:customStyle="1" w:styleId="PrintMSCorp">
    <w:name w:val="Print MS Corp"/>
    <w:aliases w:val="pms"/>
    <w:basedOn w:val="Normal"/>
    <w:locked/>
    <w:rsid w:val="004B4C84"/>
    <w:pPr>
      <w:spacing w:before="0" w:after="0" w:line="240" w:lineRule="auto"/>
    </w:pPr>
    <w:rPr>
      <w:color w:val="C0C0C0"/>
    </w:rPr>
  </w:style>
  <w:style w:type="paragraph" w:customStyle="1" w:styleId="RevisionHistory">
    <w:name w:val="Revision History"/>
    <w:aliases w:val="rh"/>
    <w:basedOn w:val="Normal"/>
    <w:locked/>
    <w:rsid w:val="004B4C84"/>
    <w:pPr>
      <w:spacing w:before="0" w:after="0" w:line="240" w:lineRule="auto"/>
    </w:pPr>
    <w:rPr>
      <w:color w:val="C0C0C0"/>
    </w:rPr>
  </w:style>
  <w:style w:type="character" w:customStyle="1" w:styleId="SV">
    <w:name w:val="SV"/>
    <w:basedOn w:val="DefaultParagraphFont"/>
    <w:locked/>
    <w:rsid w:val="004B4C84"/>
    <w:rPr>
      <w:rFonts w:ascii="Arial" w:hAnsi="Arial"/>
      <w:color w:val="C0C0C0"/>
      <w:sz w:val="20"/>
      <w:szCs w:val="18"/>
      <w:bdr w:val="none" w:sz="0" w:space="0" w:color="auto"/>
      <w:shd w:val="clear" w:color="auto" w:fill="auto"/>
    </w:rPr>
  </w:style>
  <w:style w:type="character" w:styleId="Hyperlink">
    <w:name w:val="Hyperlink"/>
    <w:basedOn w:val="DefaultParagraphFont"/>
    <w:rsid w:val="004B4C84"/>
    <w:rPr>
      <w:color w:val="0000FF"/>
      <w:sz w:val="20"/>
      <w:szCs w:val="18"/>
      <w:u w:val="single"/>
    </w:rPr>
  </w:style>
  <w:style w:type="paragraph" w:customStyle="1" w:styleId="Copyright">
    <w:name w:val="Copyright"/>
    <w:aliases w:val="copy"/>
    <w:basedOn w:val="Normal"/>
    <w:rsid w:val="004B4C84"/>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4B4C84"/>
    <w:pPr>
      <w:framePr w:wrap="notBeside"/>
      <w:ind w:left="720"/>
    </w:pPr>
  </w:style>
  <w:style w:type="paragraph" w:customStyle="1" w:styleId="ProcedureTitle">
    <w:name w:val="Procedure Title"/>
    <w:aliases w:val="prt"/>
    <w:basedOn w:val="Normal"/>
    <w:rsid w:val="004B4C84"/>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4B4C84"/>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4B4C84"/>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4B4C84"/>
    <w:rPr>
      <w:rFonts w:ascii="Arial" w:eastAsia="SimSun" w:hAnsi="Arial"/>
      <w:kern w:val="24"/>
    </w:rPr>
  </w:style>
  <w:style w:type="character" w:customStyle="1" w:styleId="BulletedList2Char">
    <w:name w:val="Bulleted List 2 Char"/>
    <w:aliases w:val="bl2 Char Char"/>
    <w:basedOn w:val="ListBulletChar"/>
    <w:link w:val="BulletedList2"/>
    <w:rsid w:val="004B4C84"/>
  </w:style>
  <w:style w:type="paragraph" w:styleId="TOC5">
    <w:name w:val="toc 5"/>
    <w:aliases w:val="toc5"/>
    <w:basedOn w:val="Normal"/>
    <w:next w:val="Normal"/>
    <w:rsid w:val="004B4C84"/>
    <w:pPr>
      <w:spacing w:before="0" w:after="0"/>
      <w:ind w:left="936" w:hanging="187"/>
    </w:pPr>
  </w:style>
  <w:style w:type="paragraph" w:customStyle="1" w:styleId="PageHeader">
    <w:name w:val="Page Header"/>
    <w:aliases w:val="pgh"/>
    <w:basedOn w:val="Normal"/>
    <w:rsid w:val="004B4C84"/>
    <w:pPr>
      <w:spacing w:before="0" w:after="240" w:line="240" w:lineRule="auto"/>
      <w:jc w:val="right"/>
    </w:pPr>
    <w:rPr>
      <w:b/>
    </w:rPr>
  </w:style>
  <w:style w:type="paragraph" w:customStyle="1" w:styleId="PageFooter">
    <w:name w:val="Page Footer"/>
    <w:aliases w:val="pgf"/>
    <w:basedOn w:val="Normal"/>
    <w:rsid w:val="004B4C84"/>
    <w:pPr>
      <w:spacing w:before="0" w:after="0" w:line="240" w:lineRule="auto"/>
      <w:jc w:val="right"/>
    </w:pPr>
  </w:style>
  <w:style w:type="paragraph" w:customStyle="1" w:styleId="PageNum">
    <w:name w:val="Page Num"/>
    <w:aliases w:val="pgn"/>
    <w:basedOn w:val="Normal"/>
    <w:rsid w:val="004B4C84"/>
    <w:pPr>
      <w:spacing w:before="0" w:after="0" w:line="240" w:lineRule="auto"/>
      <w:ind w:right="518"/>
      <w:jc w:val="right"/>
    </w:pPr>
    <w:rPr>
      <w:b/>
    </w:rPr>
  </w:style>
  <w:style w:type="character" w:customStyle="1" w:styleId="NumberedListIndexer">
    <w:name w:val="Numbered List Indexer"/>
    <w:aliases w:val="nlx"/>
    <w:basedOn w:val="DefaultParagraphFont"/>
    <w:rsid w:val="004B4C84"/>
    <w:rPr>
      <w:dstrike w:val="0"/>
      <w:vanish/>
      <w:color w:val="C0C0C0"/>
      <w:szCs w:val="18"/>
      <w:u w:val="none"/>
      <w:vertAlign w:val="baseline"/>
    </w:rPr>
  </w:style>
  <w:style w:type="paragraph" w:customStyle="1" w:styleId="ProcedureTitleinList1">
    <w:name w:val="Procedure Title in List 1"/>
    <w:aliases w:val="prt1"/>
    <w:basedOn w:val="ProcedureTitle"/>
    <w:rsid w:val="004B4C84"/>
    <w:pPr>
      <w:framePr w:wrap="notBeside"/>
    </w:pPr>
  </w:style>
  <w:style w:type="paragraph" w:styleId="TOC6">
    <w:name w:val="toc 6"/>
    <w:aliases w:val="toc6"/>
    <w:basedOn w:val="Normal"/>
    <w:next w:val="Normal"/>
    <w:rsid w:val="004B4C84"/>
    <w:pPr>
      <w:spacing w:before="0" w:after="0"/>
      <w:ind w:left="1123" w:hanging="187"/>
    </w:pPr>
  </w:style>
  <w:style w:type="paragraph" w:customStyle="1" w:styleId="ProcedureTitleinList2">
    <w:name w:val="Procedure Title in List 2"/>
    <w:aliases w:val="prt2"/>
    <w:basedOn w:val="ProcedureTitle"/>
    <w:rsid w:val="004B4C84"/>
    <w:pPr>
      <w:framePr w:wrap="notBeside"/>
      <w:ind w:left="720"/>
    </w:pPr>
  </w:style>
  <w:style w:type="table" w:customStyle="1" w:styleId="DefinitionTable">
    <w:name w:val="Definition Table"/>
    <w:aliases w:val="dtbl"/>
    <w:basedOn w:val="TableNormal"/>
    <w:rsid w:val="004B4C84"/>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4B4C84"/>
    <w:pPr>
      <w:ind w:left="1785" w:hanging="187"/>
    </w:pPr>
  </w:style>
  <w:style w:type="paragraph" w:styleId="TOC7">
    <w:name w:val="toc 7"/>
    <w:basedOn w:val="Normal"/>
    <w:next w:val="Normal"/>
    <w:rsid w:val="004B4C84"/>
    <w:pPr>
      <w:ind w:left="1382" w:hanging="187"/>
    </w:pPr>
  </w:style>
  <w:style w:type="paragraph" w:styleId="TOC8">
    <w:name w:val="toc 8"/>
    <w:basedOn w:val="Normal"/>
    <w:next w:val="Normal"/>
    <w:rsid w:val="004B4C84"/>
    <w:pPr>
      <w:ind w:left="1584" w:hanging="187"/>
    </w:pPr>
  </w:style>
  <w:style w:type="table" w:customStyle="1" w:styleId="DefinitionTableinList1">
    <w:name w:val="Definition Table in List 1"/>
    <w:aliases w:val="dtbl1"/>
    <w:basedOn w:val="DefinitionTable"/>
    <w:rsid w:val="004B4C84"/>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4B4C84"/>
    <w:tblPr>
      <w:tblInd w:w="907" w:type="dxa"/>
      <w:tblCellMar>
        <w:top w:w="0" w:type="dxa"/>
        <w:left w:w="0" w:type="dxa"/>
        <w:bottom w:w="0" w:type="dxa"/>
        <w:right w:w="0" w:type="dxa"/>
      </w:tblCellMar>
    </w:tblPr>
  </w:style>
  <w:style w:type="table" w:customStyle="1" w:styleId="PacketTable">
    <w:name w:val="Packet Table"/>
    <w:basedOn w:val="TableNormal"/>
    <w:rsid w:val="004B4C84"/>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4B4C84"/>
    <w:pPr>
      <w:numPr>
        <w:numId w:val="25"/>
      </w:numPr>
      <w:spacing w:line="260" w:lineRule="exact"/>
      <w:ind w:left="1080"/>
    </w:pPr>
  </w:style>
  <w:style w:type="paragraph" w:customStyle="1" w:styleId="BulletedList4">
    <w:name w:val="Bulleted List 4"/>
    <w:aliases w:val="bl4"/>
    <w:basedOn w:val="ListBullet"/>
    <w:rsid w:val="004B4C84"/>
    <w:pPr>
      <w:numPr>
        <w:numId w:val="26"/>
      </w:numPr>
      <w:ind w:left="1440"/>
    </w:pPr>
  </w:style>
  <w:style w:type="paragraph" w:customStyle="1" w:styleId="BulletedList5">
    <w:name w:val="Bulleted List 5"/>
    <w:aliases w:val="bl5"/>
    <w:basedOn w:val="ListBullet"/>
    <w:rsid w:val="004B4C84"/>
    <w:pPr>
      <w:numPr>
        <w:numId w:val="27"/>
      </w:numPr>
      <w:ind w:left="1800"/>
    </w:pPr>
  </w:style>
  <w:style w:type="character" w:customStyle="1" w:styleId="FooterItalic">
    <w:name w:val="Footer Italic"/>
    <w:aliases w:val="fi"/>
    <w:rsid w:val="004B4C84"/>
    <w:rPr>
      <w:rFonts w:ascii="Times New Roman" w:hAnsi="Times New Roman"/>
      <w:i/>
      <w:sz w:val="16"/>
      <w:szCs w:val="16"/>
    </w:rPr>
  </w:style>
  <w:style w:type="character" w:customStyle="1" w:styleId="FooterSmall">
    <w:name w:val="Footer Small"/>
    <w:aliases w:val="fs"/>
    <w:rsid w:val="004B4C84"/>
    <w:rPr>
      <w:rFonts w:ascii="Times New Roman" w:hAnsi="Times New Roman"/>
      <w:sz w:val="17"/>
      <w:szCs w:val="16"/>
    </w:rPr>
  </w:style>
  <w:style w:type="paragraph" w:customStyle="1" w:styleId="GenericEntry">
    <w:name w:val="Generic Entry"/>
    <w:aliases w:val="ge"/>
    <w:basedOn w:val="Normal"/>
    <w:next w:val="Normal"/>
    <w:rsid w:val="004B4C84"/>
    <w:pPr>
      <w:spacing w:after="240" w:line="260" w:lineRule="exact"/>
      <w:ind w:left="720" w:hanging="720"/>
    </w:pPr>
  </w:style>
  <w:style w:type="table" w:customStyle="1" w:styleId="IndentedPacketFieldBits">
    <w:name w:val="Indented Packet Field Bits"/>
    <w:aliases w:val="pfbi"/>
    <w:basedOn w:val="TableNormal"/>
    <w:rsid w:val="004B4C84"/>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4B4C84"/>
    <w:pPr>
      <w:numPr>
        <w:numId w:val="28"/>
      </w:numPr>
      <w:spacing w:line="260" w:lineRule="exact"/>
      <w:ind w:left="1080"/>
    </w:pPr>
  </w:style>
  <w:style w:type="paragraph" w:customStyle="1" w:styleId="NumberedList4">
    <w:name w:val="Numbered List 4"/>
    <w:aliases w:val="nl4"/>
    <w:basedOn w:val="ListNumber"/>
    <w:rsid w:val="004B4C84"/>
    <w:pPr>
      <w:numPr>
        <w:numId w:val="29"/>
      </w:numPr>
      <w:tabs>
        <w:tab w:val="left" w:pos="1800"/>
      </w:tabs>
    </w:pPr>
  </w:style>
  <w:style w:type="paragraph" w:customStyle="1" w:styleId="NumberedList5">
    <w:name w:val="Numbered List 5"/>
    <w:aliases w:val="nl5"/>
    <w:basedOn w:val="ListNumber"/>
    <w:rsid w:val="004B4C84"/>
    <w:pPr>
      <w:numPr>
        <w:numId w:val="30"/>
      </w:numPr>
    </w:pPr>
  </w:style>
  <w:style w:type="table" w:customStyle="1" w:styleId="PacketFieldBitsTable">
    <w:name w:val="Packet Field Bits Table"/>
    <w:aliases w:val="pfbt"/>
    <w:basedOn w:val="TableNormal"/>
    <w:rsid w:val="004B4C84"/>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4B4C84"/>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4B4C84"/>
    <w:rPr>
      <w:b/>
      <w:u w:val="single"/>
    </w:rPr>
  </w:style>
  <w:style w:type="paragraph" w:customStyle="1" w:styleId="AlertLabelinList3">
    <w:name w:val="Alert Label in List 3"/>
    <w:aliases w:val="al3"/>
    <w:basedOn w:val="AlertLabel"/>
    <w:rsid w:val="004B4C84"/>
    <w:pPr>
      <w:framePr w:wrap="notBeside"/>
      <w:ind w:left="1080"/>
    </w:pPr>
  </w:style>
  <w:style w:type="paragraph" w:customStyle="1" w:styleId="AlertTextinList3">
    <w:name w:val="Alert Text in List 3"/>
    <w:aliases w:val="at3"/>
    <w:basedOn w:val="AlertText"/>
    <w:rsid w:val="004B4C84"/>
    <w:pPr>
      <w:ind w:left="1440"/>
    </w:pPr>
  </w:style>
  <w:style w:type="character" w:styleId="PageNumber">
    <w:name w:val="page number"/>
    <w:basedOn w:val="DefaultParagraphFont"/>
    <w:rsid w:val="004B4C84"/>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go.microsoft.com/fwlink/?LinkId=82105" TargetMode="External"/><Relationship Id="rId26" Type="http://schemas.openxmlformats.org/officeDocument/2006/relationships/hyperlink" Target="http://go.microsoft.com/fwlink/?LinkId=185920" TargetMode="External"/><Relationship Id="rId3" Type="http://schemas.openxmlformats.org/officeDocument/2006/relationships/styles" Target="styles.xml"/><Relationship Id="rId21" Type="http://schemas.openxmlformats.org/officeDocument/2006/relationships/hyperlink" Target="http://go.microsoft.com/fwlink/?LinkId=10835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3.gi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go.microsoft.com/fwlink/?LinkID=98348" TargetMode="External"/><Relationship Id="rId29" Type="http://schemas.openxmlformats.org/officeDocument/2006/relationships/hyperlink" Target="http://go.microsoft.com/fwlink/?LinkId=1083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gif"/><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go.microsoft.com/fwlink/?LinkId=185921" TargetMode="External"/><Relationship Id="rId28"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hyperlink" Target="http://go.microsoft.com/fwlink/?LinkId=82105"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mpgfeed@microsoft.com?subject=Windows%20Server%20Base%20OS%20MPGuide%20published%20October%20%202007" TargetMode="External"/><Relationship Id="rId14" Type="http://schemas.openxmlformats.org/officeDocument/2006/relationships/header" Target="header3.xml"/><Relationship Id="rId22" Type="http://schemas.openxmlformats.org/officeDocument/2006/relationships/hyperlink" Target="http://go.microsoft.com/fwlink/?LinkId=108356" TargetMode="External"/><Relationship Id="rId27" Type="http://schemas.openxmlformats.org/officeDocument/2006/relationships/hyperlink" Target="http://go.microsoft.com/fwlink/?LinkId=108505" TargetMode="External"/><Relationship Id="rId30" Type="http://schemas.openxmlformats.org/officeDocument/2006/relationships/hyperlink" Target="http://go.microsoft.com/fwlink/?LinkId=821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FRA\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25</Pages>
  <Words>5460</Words>
  <Characters>33946</Characters>
  <Application>Microsoft Office Word</Application>
  <DocSecurity>0</DocSecurity>
  <Lines>872</Lines>
  <Paragraphs>388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2010-07-11T10:18:00Z</dcterms:created>
  <dcterms:modified xsi:type="dcterms:W3CDTF">2010-07-11T10:18:00Z</dcterms:modified>
</cp:coreProperties>
</file>